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17" w:rsidRPr="00417E0D" w:rsidRDefault="001D3F17" w:rsidP="001D3F17">
      <w:pPr>
        <w:tabs>
          <w:tab w:val="right" w:pos="10348"/>
        </w:tabs>
        <w:spacing w:after="0" w:line="240" w:lineRule="auto"/>
        <w:rPr>
          <w:rFonts w:ascii="Arial" w:hAnsi="Arial" w:cs="Arial"/>
          <w:b/>
          <w:sz w:val="20"/>
          <w:szCs w:val="20"/>
        </w:rPr>
      </w:pPr>
    </w:p>
    <w:p w:rsidR="00417E0D" w:rsidRDefault="00417E0D" w:rsidP="00417E0D">
      <w:pPr>
        <w:shd w:val="clear" w:color="auto" w:fill="FF6600"/>
        <w:jc w:val="center"/>
        <w:rPr>
          <w:rFonts w:ascii="Arial" w:hAnsi="Arial" w:cs="Arial"/>
          <w:sz w:val="16"/>
        </w:rPr>
      </w:pPr>
    </w:p>
    <w:p w:rsidR="00417E0D" w:rsidRPr="00417E0D" w:rsidRDefault="00417E0D" w:rsidP="00417E0D">
      <w:pPr>
        <w:shd w:val="clear" w:color="auto" w:fill="FF6600"/>
        <w:jc w:val="center"/>
        <w:rPr>
          <w:rFonts w:ascii="Arial" w:hAnsi="Arial" w:cs="Arial"/>
          <w:b/>
          <w:bCs/>
          <w:caps/>
          <w:sz w:val="28"/>
        </w:rPr>
      </w:pPr>
      <w:r w:rsidRPr="00417E0D">
        <w:rPr>
          <w:rFonts w:ascii="Arial" w:hAnsi="Arial" w:cs="Arial"/>
          <w:b/>
          <w:bCs/>
          <w:caps/>
          <w:sz w:val="28"/>
        </w:rPr>
        <w:t xml:space="preserve">preparation a domicile </w:t>
      </w:r>
    </w:p>
    <w:p w:rsidR="00417E0D" w:rsidRPr="00417E0D" w:rsidRDefault="00417E0D" w:rsidP="00417E0D">
      <w:pPr>
        <w:shd w:val="clear" w:color="auto" w:fill="FF6600"/>
        <w:jc w:val="center"/>
        <w:rPr>
          <w:rFonts w:ascii="Arial" w:hAnsi="Arial" w:cs="Arial"/>
          <w:b/>
          <w:bCs/>
          <w:caps/>
          <w:sz w:val="28"/>
        </w:rPr>
      </w:pPr>
      <w:r w:rsidRPr="00417E0D">
        <w:rPr>
          <w:rFonts w:ascii="Arial" w:hAnsi="Arial" w:cs="Arial"/>
          <w:b/>
          <w:bCs/>
          <w:caps/>
          <w:sz w:val="28"/>
        </w:rPr>
        <w:t xml:space="preserve">Test d’equilibration péritonéale </w:t>
      </w:r>
    </w:p>
    <w:p w:rsidR="00417E0D" w:rsidRPr="00417E0D" w:rsidRDefault="00417E0D" w:rsidP="00417E0D">
      <w:pPr>
        <w:shd w:val="clear" w:color="auto" w:fill="FF6600"/>
        <w:jc w:val="center"/>
        <w:rPr>
          <w:rFonts w:ascii="Arial" w:hAnsi="Arial" w:cs="Arial"/>
          <w:b/>
          <w:bCs/>
          <w:caps/>
          <w:sz w:val="28"/>
        </w:rPr>
      </w:pPr>
      <w:r w:rsidRPr="00417E0D">
        <w:rPr>
          <w:rFonts w:ascii="Arial" w:hAnsi="Arial" w:cs="Arial"/>
          <w:b/>
          <w:bCs/>
          <w:caps/>
          <w:sz w:val="28"/>
        </w:rPr>
        <w:t>« P.E.T. Test »</w:t>
      </w:r>
    </w:p>
    <w:p w:rsidR="00417E0D" w:rsidRDefault="00417E0D" w:rsidP="00417E0D">
      <w:pPr>
        <w:pStyle w:val="Titre1"/>
        <w:rPr>
          <w:b/>
          <w:bCs/>
        </w:rPr>
      </w:pPr>
      <w:r>
        <w:rPr>
          <w:b/>
          <w:bCs/>
        </w:rPr>
        <w:t xml:space="preserve">patient en dialyse péritonéale continue </w:t>
      </w:r>
    </w:p>
    <w:p w:rsidR="00417E0D" w:rsidRDefault="00417E0D" w:rsidP="00417E0D">
      <w:pPr>
        <w:pStyle w:val="Titre1"/>
        <w:rPr>
          <w:b/>
          <w:bCs/>
        </w:rPr>
      </w:pPr>
      <w:r>
        <w:rPr>
          <w:b/>
          <w:bCs/>
        </w:rPr>
        <w:t>ambulatoire - DPCA</w:t>
      </w:r>
    </w:p>
    <w:p w:rsidR="00417E0D" w:rsidRDefault="00417E0D" w:rsidP="00417E0D">
      <w:pPr>
        <w:shd w:val="clear" w:color="auto" w:fill="FF6600"/>
        <w:jc w:val="center"/>
        <w:rPr>
          <w:rFonts w:ascii="Arial" w:hAnsi="Arial" w:cs="Arial"/>
          <w:b/>
          <w:bCs/>
          <w:caps/>
          <w:sz w:val="12"/>
        </w:rPr>
      </w:pPr>
    </w:p>
    <w:p w:rsidR="00417E0D" w:rsidRDefault="00417E0D" w:rsidP="00417E0D">
      <w:pPr>
        <w:pStyle w:val="Titre5"/>
        <w:rPr>
          <w:rFonts w:cs="Arial"/>
          <w:b/>
          <w:iCs/>
          <w:caps/>
          <w:sz w:val="24"/>
          <w:u w:val="single"/>
        </w:rPr>
      </w:pPr>
      <w:r>
        <w:rPr>
          <w:rFonts w:cs="Arial"/>
          <w:b/>
          <w:iCs/>
          <w:caps/>
          <w:sz w:val="24"/>
          <w:u w:val="single"/>
        </w:rPr>
        <w:t xml:space="preserve">But </w:t>
      </w:r>
    </w:p>
    <w:p w:rsidR="00417E0D" w:rsidRDefault="00417E0D" w:rsidP="00417E0D">
      <w:pPr>
        <w:jc w:val="both"/>
        <w:rPr>
          <w:rFonts w:ascii="Arial" w:hAnsi="Arial" w:cs="Arial"/>
          <w:sz w:val="20"/>
        </w:rPr>
      </w:pPr>
      <w:r>
        <w:rPr>
          <w:rFonts w:ascii="Arial" w:hAnsi="Arial" w:cs="Arial"/>
          <w:sz w:val="20"/>
        </w:rPr>
        <w:t>Le test d’équilibration péritonéale permet d’évaluer les caractéristiques de transport de la membrane péritonéale en mesurant la concentration d’une substance dans le dialysat par rapport au plasma à des temps donnés et après l’introduction de liquide de dialyse dans la cavité péritonéale.</w:t>
      </w:r>
    </w:p>
    <w:p w:rsidR="00417E0D" w:rsidRDefault="00417E0D" w:rsidP="00417E0D">
      <w:pPr>
        <w:pStyle w:val="Titre5"/>
        <w:rPr>
          <w:sz w:val="20"/>
        </w:rPr>
      </w:pPr>
      <w:r>
        <w:rPr>
          <w:rFonts w:cs="Arial"/>
          <w:b/>
          <w:bCs/>
          <w:caps/>
          <w:sz w:val="24"/>
          <w:u w:val="single"/>
        </w:rPr>
        <w:t>remarques</w:t>
      </w:r>
    </w:p>
    <w:p w:rsidR="00417E0D" w:rsidRDefault="00417E0D" w:rsidP="00417E0D">
      <w:pPr>
        <w:numPr>
          <w:ilvl w:val="0"/>
          <w:numId w:val="2"/>
        </w:numPr>
        <w:spacing w:after="0" w:line="240" w:lineRule="auto"/>
        <w:jc w:val="both"/>
        <w:rPr>
          <w:rFonts w:ascii="Arial" w:hAnsi="Arial" w:cs="Arial"/>
          <w:b/>
          <w:bCs/>
          <w:caps/>
          <w:color w:val="000000"/>
          <w:sz w:val="20"/>
          <w:u w:val="thick"/>
        </w:rPr>
      </w:pPr>
      <w:r>
        <w:rPr>
          <w:rFonts w:ascii="Arial" w:hAnsi="Arial" w:cs="Arial"/>
          <w:color w:val="000000"/>
          <w:sz w:val="20"/>
        </w:rPr>
        <w:t xml:space="preserve">Le test a lieu au centre de dialyse et dure 5 heures. </w:t>
      </w:r>
    </w:p>
    <w:p w:rsidR="00417E0D" w:rsidRDefault="00417E0D" w:rsidP="00417E0D">
      <w:pPr>
        <w:numPr>
          <w:ilvl w:val="0"/>
          <w:numId w:val="2"/>
        </w:numPr>
        <w:spacing w:after="0" w:line="240" w:lineRule="auto"/>
        <w:jc w:val="both"/>
        <w:rPr>
          <w:rFonts w:ascii="Arial" w:hAnsi="Arial" w:cs="Arial"/>
          <w:color w:val="000000"/>
          <w:sz w:val="20"/>
        </w:rPr>
      </w:pPr>
      <w:r>
        <w:rPr>
          <w:rFonts w:ascii="Arial" w:hAnsi="Arial" w:cs="Arial"/>
          <w:color w:val="000000"/>
          <w:sz w:val="20"/>
        </w:rPr>
        <w:t>Avant de procéder au test, du liquide de dialyse à 2.27% de glucose doit stagner pendant une période de 8 heures dans la cavité péritonéale. L’infirmière de dialyse péritonéale négocie donc l’heure d’infusion avec le patient en fonction de l’heure du test.</w:t>
      </w:r>
    </w:p>
    <w:p w:rsidR="00417E0D" w:rsidRDefault="00417E0D" w:rsidP="00417E0D">
      <w:pPr>
        <w:numPr>
          <w:ilvl w:val="0"/>
          <w:numId w:val="2"/>
        </w:numPr>
        <w:spacing w:after="0" w:line="240" w:lineRule="auto"/>
        <w:jc w:val="both"/>
        <w:rPr>
          <w:rFonts w:ascii="Arial" w:hAnsi="Arial" w:cs="Arial"/>
          <w:color w:val="000000"/>
          <w:sz w:val="20"/>
        </w:rPr>
      </w:pPr>
      <w:r>
        <w:rPr>
          <w:rFonts w:ascii="Arial" w:hAnsi="Arial" w:cs="Arial"/>
          <w:color w:val="000000"/>
          <w:sz w:val="20"/>
        </w:rPr>
        <w:t xml:space="preserve">Le P.E.T. test se faisant dans le cadre d’un échange, se référer au protocole habituel concernant le matériel de soins, de protection, de désinfection et d’évacuation des déchets, ainsi que pour la technique. </w:t>
      </w:r>
    </w:p>
    <w:p w:rsidR="00417E0D" w:rsidRDefault="00417E0D" w:rsidP="00417E0D">
      <w:pPr>
        <w:pStyle w:val="Titre5"/>
        <w:rPr>
          <w:rFonts w:cs="Arial"/>
          <w:b/>
          <w:bCs/>
          <w:caps/>
          <w:sz w:val="24"/>
          <w:u w:val="single"/>
        </w:rPr>
      </w:pPr>
      <w:r>
        <w:rPr>
          <w:rFonts w:cs="Arial"/>
          <w:b/>
          <w:bCs/>
          <w:caps/>
          <w:sz w:val="24"/>
          <w:u w:val="single"/>
        </w:rPr>
        <w:t>Matériel a fournir au patient</w:t>
      </w:r>
    </w:p>
    <w:p w:rsidR="00417E0D" w:rsidRDefault="00417E0D" w:rsidP="00417E0D">
      <w:pPr>
        <w:numPr>
          <w:ilvl w:val="0"/>
          <w:numId w:val="1"/>
        </w:numPr>
        <w:spacing w:after="0" w:line="240" w:lineRule="auto"/>
        <w:jc w:val="both"/>
        <w:rPr>
          <w:rFonts w:ascii="Arial" w:hAnsi="Arial" w:cs="Arial"/>
          <w:sz w:val="20"/>
        </w:rPr>
      </w:pPr>
      <w:r>
        <w:rPr>
          <w:rFonts w:ascii="Arial" w:hAnsi="Arial" w:cs="Arial"/>
          <w:sz w:val="20"/>
        </w:rPr>
        <w:t xml:space="preserve">1 poche de liquide de dialyse de 2 L à 2.27 % de glucose </w:t>
      </w:r>
    </w:p>
    <w:p w:rsidR="00417E0D" w:rsidRDefault="00417E0D" w:rsidP="00417E0D">
      <w:pPr>
        <w:numPr>
          <w:ilvl w:val="0"/>
          <w:numId w:val="1"/>
        </w:numPr>
        <w:spacing w:after="0" w:line="240" w:lineRule="auto"/>
        <w:jc w:val="both"/>
        <w:rPr>
          <w:rFonts w:ascii="Arial" w:hAnsi="Arial" w:cs="Arial"/>
          <w:sz w:val="20"/>
        </w:rPr>
      </w:pPr>
      <w:r>
        <w:rPr>
          <w:rFonts w:ascii="Arial" w:hAnsi="Arial" w:cs="Arial"/>
          <w:sz w:val="20"/>
        </w:rPr>
        <w:t>1 bocal pour les urines de 24 heures</w:t>
      </w:r>
      <w:r>
        <w:rPr>
          <w:rFonts w:ascii="Arial" w:hAnsi="Arial" w:cs="Arial"/>
          <w:sz w:val="20"/>
          <w:szCs w:val="20"/>
        </w:rPr>
        <w:t> </w:t>
      </w:r>
    </w:p>
    <w:p w:rsidR="00417E0D" w:rsidRDefault="00417E0D" w:rsidP="00417E0D">
      <w:pPr>
        <w:spacing w:before="240" w:after="60"/>
        <w:jc w:val="both"/>
        <w:rPr>
          <w:rFonts w:ascii="Arial" w:hAnsi="Arial" w:cs="Arial"/>
          <w:b/>
          <w:bCs/>
          <w:caps/>
          <w:u w:val="thick"/>
        </w:rPr>
      </w:pPr>
      <w:r>
        <w:rPr>
          <w:rFonts w:ascii="Arial" w:hAnsi="Arial" w:cs="Arial"/>
          <w:b/>
          <w:bCs/>
          <w:caps/>
          <w:u w:val="thick"/>
        </w:rPr>
        <w:t>technique</w:t>
      </w:r>
    </w:p>
    <w:p w:rsidR="00417E0D" w:rsidRDefault="00417E0D" w:rsidP="00417E0D">
      <w:pPr>
        <w:jc w:val="both"/>
        <w:rPr>
          <w:rFonts w:ascii="Arial" w:hAnsi="Arial" w:cs="Arial"/>
          <w:sz w:val="20"/>
        </w:rPr>
      </w:pPr>
      <w:r>
        <w:rPr>
          <w:rFonts w:ascii="Arial" w:hAnsi="Arial" w:cs="Arial"/>
          <w:sz w:val="20"/>
        </w:rPr>
        <w:t xml:space="preserve">La veille du test prévu au centre de dialyse : </w:t>
      </w:r>
    </w:p>
    <w:p w:rsidR="00417E0D" w:rsidRDefault="00417E0D" w:rsidP="00417E0D">
      <w:pPr>
        <w:numPr>
          <w:ilvl w:val="0"/>
          <w:numId w:val="2"/>
        </w:numPr>
        <w:spacing w:after="0" w:line="240" w:lineRule="auto"/>
        <w:jc w:val="both"/>
        <w:rPr>
          <w:rFonts w:ascii="Arial" w:hAnsi="Arial" w:cs="Arial"/>
          <w:sz w:val="20"/>
        </w:rPr>
      </w:pPr>
      <w:r>
        <w:rPr>
          <w:rFonts w:ascii="Arial" w:hAnsi="Arial" w:cs="Arial"/>
          <w:sz w:val="20"/>
        </w:rPr>
        <w:t xml:space="preserve">Récolter les urines de 24 heures comme suit : </w:t>
      </w:r>
    </w:p>
    <w:p w:rsidR="00417E0D" w:rsidRDefault="00417E0D" w:rsidP="00417E0D">
      <w:pPr>
        <w:numPr>
          <w:ilvl w:val="1"/>
          <w:numId w:val="2"/>
        </w:numPr>
        <w:spacing w:after="0" w:line="240" w:lineRule="auto"/>
        <w:jc w:val="both"/>
        <w:rPr>
          <w:rFonts w:ascii="Arial" w:hAnsi="Arial" w:cs="Arial"/>
          <w:sz w:val="20"/>
        </w:rPr>
      </w:pPr>
      <w:r>
        <w:rPr>
          <w:rFonts w:ascii="Arial" w:hAnsi="Arial" w:cs="Arial"/>
          <w:sz w:val="20"/>
        </w:rPr>
        <w:t xml:space="preserve">Evacuer la première urine du matin puis récolter toutes les urines de la journée, de la nuit et les premières urines émises au matin du test. </w:t>
      </w:r>
    </w:p>
    <w:p w:rsidR="00417E0D" w:rsidRDefault="00417E0D" w:rsidP="00417E0D">
      <w:pPr>
        <w:numPr>
          <w:ilvl w:val="0"/>
          <w:numId w:val="2"/>
        </w:numPr>
        <w:spacing w:after="0" w:line="240" w:lineRule="auto"/>
        <w:jc w:val="both"/>
        <w:rPr>
          <w:rFonts w:ascii="Arial" w:hAnsi="Arial" w:cs="Arial"/>
          <w:sz w:val="20"/>
        </w:rPr>
      </w:pPr>
      <w:r>
        <w:rPr>
          <w:rFonts w:ascii="Arial" w:hAnsi="Arial" w:cs="Arial"/>
          <w:sz w:val="20"/>
        </w:rPr>
        <w:t>Récolter le dialysat de 24 heures comme suit en procédant aux échanges selon le protocole habituel</w:t>
      </w:r>
      <w:r>
        <w:rPr>
          <w:rFonts w:ascii="Arial" w:hAnsi="Arial" w:cs="Arial"/>
          <w:b/>
          <w:bCs/>
          <w:sz w:val="20"/>
        </w:rPr>
        <w:t xml:space="preserve"> </w:t>
      </w:r>
      <w:r>
        <w:rPr>
          <w:rFonts w:ascii="Arial" w:hAnsi="Arial" w:cs="Arial"/>
          <w:sz w:val="20"/>
        </w:rPr>
        <w:t>(veiller à jeter le surplus de liquide de dialyse et à ne pas l’éliminer via la poche de drainage)</w:t>
      </w:r>
      <w:r>
        <w:rPr>
          <w:rFonts w:ascii="Arial" w:hAnsi="Arial" w:cs="Arial"/>
          <w:b/>
          <w:bCs/>
          <w:sz w:val="20"/>
        </w:rPr>
        <w:t> </w:t>
      </w:r>
      <w:r>
        <w:rPr>
          <w:rFonts w:ascii="Arial" w:hAnsi="Arial" w:cs="Arial"/>
          <w:sz w:val="20"/>
        </w:rPr>
        <w:t>:</w:t>
      </w:r>
    </w:p>
    <w:p w:rsidR="00417E0D" w:rsidRDefault="00417E0D" w:rsidP="00417E0D">
      <w:pPr>
        <w:numPr>
          <w:ilvl w:val="1"/>
          <w:numId w:val="2"/>
        </w:numPr>
        <w:spacing w:after="0" w:line="240" w:lineRule="auto"/>
        <w:jc w:val="both"/>
        <w:rPr>
          <w:rFonts w:ascii="Arial" w:hAnsi="Arial" w:cs="Arial"/>
          <w:sz w:val="20"/>
        </w:rPr>
      </w:pPr>
      <w:r>
        <w:rPr>
          <w:rFonts w:ascii="Arial" w:hAnsi="Arial" w:cs="Arial"/>
          <w:sz w:val="20"/>
        </w:rPr>
        <w:t>1</w:t>
      </w:r>
      <w:r>
        <w:rPr>
          <w:rFonts w:ascii="Arial" w:hAnsi="Arial" w:cs="Arial"/>
          <w:sz w:val="20"/>
          <w:vertAlign w:val="superscript"/>
        </w:rPr>
        <w:t>er</w:t>
      </w:r>
      <w:r>
        <w:rPr>
          <w:rFonts w:ascii="Arial" w:hAnsi="Arial" w:cs="Arial"/>
          <w:sz w:val="20"/>
        </w:rPr>
        <w:t xml:space="preserve"> échange du matin </w:t>
      </w:r>
      <w:r>
        <w:rPr>
          <w:rFonts w:ascii="Arial" w:hAnsi="Arial" w:cs="Arial"/>
          <w:sz w:val="20"/>
        </w:rPr>
        <w:tab/>
      </w:r>
    </w:p>
    <w:p w:rsidR="00417E0D" w:rsidRDefault="00417E0D" w:rsidP="00417E0D">
      <w:pPr>
        <w:numPr>
          <w:ilvl w:val="2"/>
          <w:numId w:val="2"/>
        </w:numPr>
        <w:spacing w:after="0" w:line="240" w:lineRule="auto"/>
        <w:jc w:val="both"/>
        <w:rPr>
          <w:rFonts w:ascii="Arial" w:hAnsi="Arial" w:cs="Arial"/>
          <w:sz w:val="20"/>
        </w:rPr>
      </w:pPr>
      <w:r>
        <w:rPr>
          <w:rFonts w:ascii="Arial" w:hAnsi="Arial" w:cs="Arial"/>
          <w:sz w:val="20"/>
        </w:rPr>
        <w:sym w:font="Wingdings" w:char="F0E0"/>
      </w:r>
      <w:r>
        <w:rPr>
          <w:rFonts w:ascii="Arial" w:hAnsi="Arial" w:cs="Arial"/>
          <w:sz w:val="20"/>
        </w:rPr>
        <w:t xml:space="preserve"> éliminer le dialysat</w:t>
      </w:r>
    </w:p>
    <w:p w:rsidR="00417E0D" w:rsidRDefault="00417E0D" w:rsidP="00417E0D">
      <w:pPr>
        <w:numPr>
          <w:ilvl w:val="1"/>
          <w:numId w:val="2"/>
        </w:numPr>
        <w:spacing w:after="0" w:line="240" w:lineRule="auto"/>
        <w:jc w:val="both"/>
        <w:rPr>
          <w:rFonts w:ascii="Arial" w:hAnsi="Arial" w:cs="Arial"/>
          <w:sz w:val="20"/>
        </w:rPr>
      </w:pPr>
      <w:r>
        <w:rPr>
          <w:rFonts w:ascii="Arial" w:hAnsi="Arial" w:cs="Arial"/>
          <w:sz w:val="20"/>
        </w:rPr>
        <w:t>2</w:t>
      </w:r>
      <w:r>
        <w:rPr>
          <w:rFonts w:ascii="Arial" w:hAnsi="Arial" w:cs="Arial"/>
          <w:sz w:val="20"/>
          <w:vertAlign w:val="superscript"/>
        </w:rPr>
        <w:t>ème</w:t>
      </w:r>
      <w:r>
        <w:rPr>
          <w:rFonts w:ascii="Arial" w:hAnsi="Arial" w:cs="Arial"/>
          <w:sz w:val="20"/>
        </w:rPr>
        <w:t xml:space="preserve"> échange de la journée</w:t>
      </w:r>
      <w:r>
        <w:rPr>
          <w:rFonts w:ascii="Arial" w:hAnsi="Arial" w:cs="Arial"/>
          <w:sz w:val="20"/>
        </w:rPr>
        <w:tab/>
      </w:r>
      <w:r>
        <w:rPr>
          <w:rFonts w:ascii="Arial" w:hAnsi="Arial" w:cs="Arial"/>
          <w:sz w:val="20"/>
        </w:rPr>
        <w:tab/>
      </w:r>
    </w:p>
    <w:p w:rsidR="00417E0D" w:rsidRDefault="00417E0D" w:rsidP="00417E0D">
      <w:pPr>
        <w:numPr>
          <w:ilvl w:val="2"/>
          <w:numId w:val="2"/>
        </w:numPr>
        <w:spacing w:after="0" w:line="240" w:lineRule="auto"/>
        <w:jc w:val="both"/>
        <w:rPr>
          <w:rFonts w:ascii="Arial" w:hAnsi="Arial" w:cs="Arial"/>
          <w:sz w:val="20"/>
        </w:rPr>
      </w:pPr>
      <w:r>
        <w:rPr>
          <w:rFonts w:ascii="Arial" w:hAnsi="Arial" w:cs="Arial"/>
          <w:sz w:val="20"/>
        </w:rPr>
        <w:sym w:font="Wingdings" w:char="F0E0"/>
      </w:r>
      <w:r>
        <w:rPr>
          <w:rFonts w:ascii="Arial" w:hAnsi="Arial" w:cs="Arial"/>
          <w:sz w:val="20"/>
        </w:rPr>
        <w:t xml:space="preserve"> garder la poche de dialysat</w:t>
      </w:r>
    </w:p>
    <w:p w:rsidR="00417E0D" w:rsidRDefault="00417E0D" w:rsidP="00417E0D">
      <w:pPr>
        <w:numPr>
          <w:ilvl w:val="1"/>
          <w:numId w:val="2"/>
        </w:numPr>
        <w:spacing w:after="0" w:line="240" w:lineRule="auto"/>
        <w:jc w:val="both"/>
        <w:rPr>
          <w:rFonts w:ascii="Arial" w:hAnsi="Arial" w:cs="Arial"/>
          <w:sz w:val="20"/>
        </w:rPr>
      </w:pPr>
      <w:r>
        <w:rPr>
          <w:rFonts w:ascii="Arial" w:hAnsi="Arial" w:cs="Arial"/>
          <w:sz w:val="20"/>
        </w:rPr>
        <w:t>3</w:t>
      </w:r>
      <w:r>
        <w:rPr>
          <w:rFonts w:ascii="Arial" w:hAnsi="Arial" w:cs="Arial"/>
          <w:sz w:val="20"/>
          <w:vertAlign w:val="superscript"/>
        </w:rPr>
        <w:t>ème</w:t>
      </w:r>
      <w:r>
        <w:rPr>
          <w:rFonts w:ascii="Arial" w:hAnsi="Arial" w:cs="Arial"/>
          <w:sz w:val="20"/>
        </w:rPr>
        <w:t xml:space="preserve"> échange de la journée</w:t>
      </w:r>
      <w:r>
        <w:rPr>
          <w:rFonts w:ascii="Arial" w:hAnsi="Arial" w:cs="Arial"/>
          <w:sz w:val="20"/>
        </w:rPr>
        <w:tab/>
      </w:r>
      <w:r>
        <w:rPr>
          <w:rFonts w:ascii="Arial" w:hAnsi="Arial" w:cs="Arial"/>
          <w:sz w:val="20"/>
        </w:rPr>
        <w:tab/>
      </w:r>
    </w:p>
    <w:p w:rsidR="00417E0D" w:rsidRDefault="00417E0D" w:rsidP="00417E0D">
      <w:pPr>
        <w:numPr>
          <w:ilvl w:val="2"/>
          <w:numId w:val="2"/>
        </w:numPr>
        <w:spacing w:after="0" w:line="240" w:lineRule="auto"/>
        <w:jc w:val="both"/>
        <w:rPr>
          <w:rFonts w:ascii="Arial" w:hAnsi="Arial" w:cs="Arial"/>
          <w:sz w:val="20"/>
        </w:rPr>
      </w:pPr>
      <w:r>
        <w:rPr>
          <w:rFonts w:ascii="Arial" w:hAnsi="Arial" w:cs="Arial"/>
          <w:sz w:val="20"/>
        </w:rPr>
        <w:sym w:font="Wingdings" w:char="F0E0"/>
      </w:r>
      <w:r>
        <w:rPr>
          <w:rFonts w:ascii="Arial" w:hAnsi="Arial" w:cs="Arial"/>
          <w:sz w:val="20"/>
        </w:rPr>
        <w:t xml:space="preserve"> garder la poche de dialysat</w:t>
      </w:r>
    </w:p>
    <w:p w:rsidR="00417E0D" w:rsidRDefault="00417E0D" w:rsidP="00417E0D">
      <w:pPr>
        <w:numPr>
          <w:ilvl w:val="1"/>
          <w:numId w:val="2"/>
        </w:numPr>
        <w:spacing w:after="0" w:line="240" w:lineRule="auto"/>
        <w:jc w:val="both"/>
        <w:rPr>
          <w:rFonts w:ascii="Arial" w:hAnsi="Arial" w:cs="Arial"/>
          <w:sz w:val="20"/>
        </w:rPr>
      </w:pPr>
      <w:r>
        <w:rPr>
          <w:rFonts w:ascii="Arial" w:hAnsi="Arial" w:cs="Arial"/>
          <w:sz w:val="20"/>
        </w:rPr>
        <w:t xml:space="preserve">Dernier échange de la journée </w:t>
      </w:r>
      <w:r>
        <w:rPr>
          <w:rFonts w:ascii="Arial" w:hAnsi="Arial" w:cs="Arial"/>
          <w:sz w:val="20"/>
        </w:rPr>
        <w:tab/>
      </w:r>
    </w:p>
    <w:p w:rsidR="00417E0D" w:rsidRDefault="00417E0D" w:rsidP="00417E0D">
      <w:pPr>
        <w:numPr>
          <w:ilvl w:val="2"/>
          <w:numId w:val="2"/>
        </w:numPr>
        <w:spacing w:after="0" w:line="240" w:lineRule="auto"/>
        <w:jc w:val="both"/>
        <w:rPr>
          <w:rFonts w:ascii="Arial" w:hAnsi="Arial" w:cs="Arial"/>
          <w:sz w:val="20"/>
        </w:rPr>
      </w:pPr>
      <w:r>
        <w:rPr>
          <w:rFonts w:ascii="Arial" w:hAnsi="Arial" w:cs="Arial"/>
          <w:sz w:val="20"/>
        </w:rPr>
        <w:sym w:font="Wingdings" w:char="F0E0"/>
      </w:r>
      <w:r>
        <w:rPr>
          <w:rFonts w:ascii="Arial" w:hAnsi="Arial" w:cs="Arial"/>
          <w:sz w:val="20"/>
        </w:rPr>
        <w:t xml:space="preserve"> garder la poche de dialysat </w:t>
      </w:r>
    </w:p>
    <w:p w:rsidR="00417E0D" w:rsidRDefault="00417E0D" w:rsidP="00417E0D">
      <w:pPr>
        <w:numPr>
          <w:ilvl w:val="0"/>
          <w:numId w:val="2"/>
        </w:numPr>
        <w:spacing w:after="0" w:line="240" w:lineRule="auto"/>
        <w:jc w:val="both"/>
        <w:rPr>
          <w:rFonts w:ascii="Arial" w:hAnsi="Arial" w:cs="Arial"/>
          <w:sz w:val="20"/>
        </w:rPr>
      </w:pPr>
      <w:r>
        <w:rPr>
          <w:rFonts w:ascii="Arial" w:hAnsi="Arial" w:cs="Arial"/>
          <w:sz w:val="20"/>
        </w:rPr>
        <w:t>Infuser la poche de liquide de dialyse de 2 litres à 2.27 % de glucose à l’heure prévue avec l’infirmière de dialyse et déconnecter le système bi-</w:t>
      </w:r>
      <w:proofErr w:type="spellStart"/>
      <w:r>
        <w:rPr>
          <w:rFonts w:ascii="Arial" w:hAnsi="Arial" w:cs="Arial"/>
          <w:sz w:val="20"/>
        </w:rPr>
        <w:t>compartimental</w:t>
      </w:r>
      <w:proofErr w:type="spellEnd"/>
      <w:r>
        <w:rPr>
          <w:rFonts w:ascii="Arial" w:hAnsi="Arial" w:cs="Arial"/>
          <w:sz w:val="20"/>
        </w:rPr>
        <w:t xml:space="preserve"> selon le protocole habituel. Le liquide de dialyse sera maintenu dans la cavité péritonéale jusqu’à l’heure du test prévu au centre de dialyse.</w:t>
      </w:r>
    </w:p>
    <w:p w:rsidR="00417E0D" w:rsidRDefault="00417E0D" w:rsidP="00417E0D">
      <w:pPr>
        <w:spacing w:after="0" w:line="240" w:lineRule="auto"/>
        <w:ind w:left="357"/>
        <w:jc w:val="both"/>
        <w:rPr>
          <w:rFonts w:ascii="Arial" w:hAnsi="Arial" w:cs="Arial"/>
          <w:sz w:val="20"/>
        </w:rPr>
      </w:pPr>
    </w:p>
    <w:p w:rsidR="00417E0D" w:rsidRDefault="00417E0D" w:rsidP="00417E0D">
      <w:pPr>
        <w:jc w:val="both"/>
        <w:rPr>
          <w:rFonts w:ascii="Arial" w:hAnsi="Arial" w:cs="Arial"/>
          <w:sz w:val="20"/>
        </w:rPr>
      </w:pPr>
      <w:r>
        <w:rPr>
          <w:rFonts w:ascii="Arial" w:hAnsi="Arial" w:cs="Arial"/>
          <w:sz w:val="20"/>
        </w:rPr>
        <w:t>Le jour du test prévu au centre de dialyse, le patient prend avec lui :</w:t>
      </w:r>
    </w:p>
    <w:p w:rsidR="00417E0D" w:rsidRDefault="00417E0D" w:rsidP="00417E0D">
      <w:pPr>
        <w:numPr>
          <w:ilvl w:val="0"/>
          <w:numId w:val="3"/>
        </w:numPr>
        <w:tabs>
          <w:tab w:val="num" w:pos="2136"/>
        </w:tabs>
        <w:spacing w:after="0" w:line="240" w:lineRule="auto"/>
        <w:rPr>
          <w:rFonts w:ascii="Arial" w:hAnsi="Arial" w:cs="Arial"/>
          <w:sz w:val="20"/>
        </w:rPr>
      </w:pPr>
      <w:r>
        <w:rPr>
          <w:rFonts w:ascii="Arial" w:hAnsi="Arial" w:cs="Arial"/>
          <w:sz w:val="20"/>
        </w:rPr>
        <w:t>Les urines de 24 heures.</w:t>
      </w:r>
    </w:p>
    <w:p w:rsidR="00417E0D" w:rsidRDefault="00417E0D" w:rsidP="00417E0D">
      <w:pPr>
        <w:numPr>
          <w:ilvl w:val="0"/>
          <w:numId w:val="3"/>
        </w:numPr>
        <w:tabs>
          <w:tab w:val="num" w:pos="2136"/>
        </w:tabs>
        <w:spacing w:after="0" w:line="240" w:lineRule="auto"/>
        <w:rPr>
          <w:rFonts w:ascii="Arial" w:hAnsi="Arial" w:cs="Arial"/>
          <w:sz w:val="20"/>
        </w:rPr>
      </w:pPr>
      <w:r>
        <w:rPr>
          <w:rFonts w:ascii="Arial" w:hAnsi="Arial" w:cs="Arial"/>
          <w:sz w:val="20"/>
        </w:rPr>
        <w:t>Le dialysat de 24 heures (3 poches).</w:t>
      </w:r>
    </w:p>
    <w:p w:rsidR="008B735F" w:rsidRPr="00417E0D" w:rsidRDefault="00417E0D" w:rsidP="005E5EEA">
      <w:pPr>
        <w:numPr>
          <w:ilvl w:val="0"/>
          <w:numId w:val="3"/>
        </w:numPr>
        <w:tabs>
          <w:tab w:val="num" w:pos="2136"/>
        </w:tabs>
        <w:spacing w:after="0" w:line="240" w:lineRule="auto"/>
        <w:rPr>
          <w:rFonts w:ascii="Arial" w:hAnsi="Arial" w:cs="Arial"/>
          <w:sz w:val="20"/>
        </w:rPr>
      </w:pPr>
      <w:r>
        <w:rPr>
          <w:rFonts w:ascii="Arial" w:hAnsi="Arial" w:cs="Arial"/>
          <w:sz w:val="20"/>
        </w:rPr>
        <w:t>Les feuilles de suivi du traitement.</w:t>
      </w:r>
    </w:p>
    <w:sectPr w:rsidR="008B735F" w:rsidRPr="00417E0D" w:rsidSect="00C343D6">
      <w:headerReference w:type="even" r:id="rId8"/>
      <w:headerReference w:type="default" r:id="rId9"/>
      <w:footerReference w:type="even" r:id="rId10"/>
      <w:footerReference w:type="default" r:id="rId11"/>
      <w:headerReference w:type="first" r:id="rId12"/>
      <w:footerReference w:type="first" r:id="rId13"/>
      <w:pgSz w:w="11906" w:h="16838" w:code="9"/>
      <w:pgMar w:top="820" w:right="707" w:bottom="993" w:left="851" w:header="568" w:footer="3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35B" w:rsidRDefault="00F5035B" w:rsidP="005E5EEA">
      <w:pPr>
        <w:spacing w:after="0" w:line="240" w:lineRule="auto"/>
      </w:pPr>
      <w:r>
        <w:separator/>
      </w:r>
    </w:p>
  </w:endnote>
  <w:endnote w:type="continuationSeparator" w:id="0">
    <w:p w:rsidR="00F5035B" w:rsidRDefault="00F5035B" w:rsidP="005E5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15" w:rsidRDefault="0084201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D6" w:rsidRPr="00ED339A" w:rsidRDefault="00DD196E" w:rsidP="00074541">
    <w:pPr>
      <w:pStyle w:val="Pieddepage"/>
      <w:pBdr>
        <w:top w:val="single" w:sz="4" w:space="1" w:color="auto"/>
      </w:pBdr>
      <w:rPr>
        <w:rFonts w:ascii="Arial" w:hAnsi="Arial" w:cs="Arial"/>
        <w:sz w:val="16"/>
        <w:szCs w:val="16"/>
      </w:rPr>
    </w:pPr>
    <w:bookmarkStart w:id="0" w:name="VDOCS14_750040"/>
    <w:r w:rsidRPr="00DD196E">
      <w:rPr>
        <w:rFonts w:ascii="Arial" w:hAnsi="Arial" w:cs="Arial"/>
        <w:sz w:val="16"/>
        <w:szCs w:val="16"/>
        <w:effect w:val="antsRed"/>
      </w:rPr>
      <w:t>DP - DPCA - test d'équilibration péritonéale - préparation du patient</w:t>
    </w:r>
    <w:bookmarkEnd w:id="0"/>
  </w:p>
  <w:p w:rsidR="008523D6" w:rsidRDefault="00DD196E" w:rsidP="00074541">
    <w:pPr>
      <w:pStyle w:val="Pieddepage"/>
      <w:tabs>
        <w:tab w:val="clear" w:pos="4536"/>
        <w:tab w:val="clear" w:pos="9072"/>
        <w:tab w:val="center" w:pos="5103"/>
        <w:tab w:val="right" w:pos="10260"/>
      </w:tabs>
      <w:spacing w:before="40"/>
      <w:rPr>
        <w:rFonts w:ascii="Arial" w:hAnsi="Arial" w:cs="Arial"/>
        <w:sz w:val="16"/>
        <w:szCs w:val="16"/>
      </w:rPr>
    </w:pPr>
    <w:bookmarkStart w:id="1" w:name="VDOCS8_5"/>
    <w:r w:rsidRPr="00DD196E">
      <w:rPr>
        <w:rFonts w:ascii="Arial" w:hAnsi="Arial" w:cs="Arial"/>
        <w:sz w:val="16"/>
        <w:szCs w:val="16"/>
        <w:effect w:val="antsRed"/>
      </w:rPr>
      <w:t>HPCI_W_FT_00195</w:t>
    </w:r>
    <w:bookmarkEnd w:id="1"/>
    <w:r w:rsidR="008523D6" w:rsidRPr="00ED339A">
      <w:rPr>
        <w:rFonts w:ascii="Arial" w:hAnsi="Arial" w:cs="Arial"/>
        <w:sz w:val="16"/>
        <w:szCs w:val="16"/>
      </w:rPr>
      <w:t xml:space="preserve"> </w:t>
    </w:r>
    <w:r w:rsidR="008523D6" w:rsidRPr="00ED339A">
      <w:rPr>
        <w:rFonts w:ascii="Arial" w:hAnsi="Arial" w:cs="Arial"/>
        <w:sz w:val="16"/>
        <w:szCs w:val="16"/>
      </w:rPr>
      <w:tab/>
      <w:t xml:space="preserve">V. </w:t>
    </w:r>
    <w:bookmarkStart w:id="2" w:name="VDOCS13_15"/>
    <w:r w:rsidRPr="00DD196E">
      <w:rPr>
        <w:rFonts w:ascii="Arial" w:hAnsi="Arial" w:cs="Arial"/>
        <w:sz w:val="16"/>
        <w:szCs w:val="16"/>
        <w:effect w:val="antsRed"/>
      </w:rPr>
      <w:t>1.2</w:t>
    </w:r>
    <w:bookmarkEnd w:id="2"/>
    <w:r w:rsidR="008523D6" w:rsidRPr="00ED339A">
      <w:rPr>
        <w:rFonts w:ascii="Arial" w:hAnsi="Arial" w:cs="Arial"/>
        <w:sz w:val="16"/>
        <w:szCs w:val="16"/>
      </w:rPr>
      <w:t xml:space="preserve"> du</w:t>
    </w:r>
    <w:r w:rsidR="008523D6">
      <w:rPr>
        <w:rFonts w:ascii="Arial" w:hAnsi="Arial" w:cs="Arial"/>
        <w:sz w:val="16"/>
        <w:szCs w:val="16"/>
      </w:rPr>
      <w:t xml:space="preserve"> </w:t>
    </w:r>
    <w:bookmarkStart w:id="3" w:name="VDOCS16_18"/>
    <w:r w:rsidRPr="00DD196E">
      <w:rPr>
        <w:rFonts w:ascii="Arial" w:hAnsi="Arial" w:cs="Arial"/>
        <w:sz w:val="16"/>
        <w:szCs w:val="16"/>
        <w:effect w:val="antsRed"/>
      </w:rPr>
      <w:t>27/09/2016</w:t>
    </w:r>
    <w:bookmarkEnd w:id="3"/>
    <w:r w:rsidR="008523D6" w:rsidRPr="00ED339A">
      <w:rPr>
        <w:rFonts w:ascii="Arial" w:hAnsi="Arial" w:cs="Arial"/>
        <w:sz w:val="16"/>
        <w:szCs w:val="16"/>
      </w:rPr>
      <w:tab/>
      <w:t xml:space="preserve">Page </w:t>
    </w:r>
    <w:r w:rsidR="00610AAD" w:rsidRPr="00ED339A">
      <w:rPr>
        <w:rFonts w:ascii="Arial" w:hAnsi="Arial" w:cs="Arial"/>
        <w:sz w:val="16"/>
        <w:szCs w:val="16"/>
      </w:rPr>
      <w:fldChar w:fldCharType="begin"/>
    </w:r>
    <w:r w:rsidR="008523D6" w:rsidRPr="00ED339A">
      <w:rPr>
        <w:rFonts w:ascii="Arial" w:hAnsi="Arial" w:cs="Arial"/>
        <w:sz w:val="16"/>
        <w:szCs w:val="16"/>
      </w:rPr>
      <w:instrText xml:space="preserve"> PAGE </w:instrText>
    </w:r>
    <w:r w:rsidR="00610AAD" w:rsidRPr="00ED339A">
      <w:rPr>
        <w:rFonts w:ascii="Arial" w:hAnsi="Arial" w:cs="Arial"/>
        <w:sz w:val="16"/>
        <w:szCs w:val="16"/>
      </w:rPr>
      <w:fldChar w:fldCharType="separate"/>
    </w:r>
    <w:r w:rsidR="00417E0D">
      <w:rPr>
        <w:rFonts w:ascii="Arial" w:hAnsi="Arial" w:cs="Arial"/>
        <w:noProof/>
        <w:sz w:val="16"/>
        <w:szCs w:val="16"/>
      </w:rPr>
      <w:t>2</w:t>
    </w:r>
    <w:r w:rsidR="00610AAD" w:rsidRPr="00ED339A">
      <w:rPr>
        <w:rFonts w:ascii="Arial" w:hAnsi="Arial" w:cs="Arial"/>
        <w:sz w:val="16"/>
        <w:szCs w:val="16"/>
      </w:rPr>
      <w:fldChar w:fldCharType="end"/>
    </w:r>
    <w:r w:rsidR="008523D6" w:rsidRPr="00ED339A">
      <w:rPr>
        <w:rFonts w:ascii="Arial" w:hAnsi="Arial" w:cs="Arial"/>
        <w:sz w:val="16"/>
        <w:szCs w:val="16"/>
      </w:rPr>
      <w:t xml:space="preserve"> / </w:t>
    </w:r>
    <w:r w:rsidR="00610AAD" w:rsidRPr="00ED339A">
      <w:rPr>
        <w:rFonts w:ascii="Arial" w:hAnsi="Arial" w:cs="Arial"/>
        <w:sz w:val="16"/>
        <w:szCs w:val="16"/>
      </w:rPr>
      <w:fldChar w:fldCharType="begin"/>
    </w:r>
    <w:r w:rsidR="008523D6" w:rsidRPr="00ED339A">
      <w:rPr>
        <w:rFonts w:ascii="Arial" w:hAnsi="Arial" w:cs="Arial"/>
        <w:sz w:val="16"/>
        <w:szCs w:val="16"/>
      </w:rPr>
      <w:instrText xml:space="preserve"> NUMPAGES </w:instrText>
    </w:r>
    <w:r w:rsidR="00610AAD" w:rsidRPr="00ED339A">
      <w:rPr>
        <w:rFonts w:ascii="Arial" w:hAnsi="Arial" w:cs="Arial"/>
        <w:sz w:val="16"/>
        <w:szCs w:val="16"/>
      </w:rPr>
      <w:fldChar w:fldCharType="separate"/>
    </w:r>
    <w:r w:rsidR="00417E0D">
      <w:rPr>
        <w:rFonts w:ascii="Arial" w:hAnsi="Arial" w:cs="Arial"/>
        <w:noProof/>
        <w:sz w:val="16"/>
        <w:szCs w:val="16"/>
      </w:rPr>
      <w:t>2</w:t>
    </w:r>
    <w:r w:rsidR="00610AAD" w:rsidRPr="00ED339A">
      <w:rPr>
        <w:rFonts w:ascii="Arial" w:hAnsi="Arial" w:cs="Arial"/>
        <w:sz w:val="16"/>
        <w:szCs w:val="16"/>
      </w:rPr>
      <w:fldChar w:fldCharType="end"/>
    </w:r>
  </w:p>
  <w:p w:rsidR="00A45101" w:rsidRPr="00A45101" w:rsidRDefault="0088128E" w:rsidP="00074541">
    <w:pPr>
      <w:pStyle w:val="Pieddepage"/>
      <w:tabs>
        <w:tab w:val="clear" w:pos="4536"/>
        <w:tab w:val="clear" w:pos="9072"/>
        <w:tab w:val="center" w:pos="5103"/>
        <w:tab w:val="right" w:pos="10260"/>
      </w:tabs>
      <w:spacing w:before="40"/>
      <w:rPr>
        <w:rFonts w:ascii="Arial" w:hAnsi="Arial" w:cs="Arial"/>
        <w:sz w:val="8"/>
        <w:szCs w:val="8"/>
      </w:rPr>
    </w:pPr>
    <w:r>
      <w:rPr>
        <w:rFonts w:ascii="Arial" w:hAnsi="Arial" w:cs="Arial"/>
        <w:noProof/>
        <w:sz w:val="16"/>
        <w:szCs w:val="16"/>
      </w:rPr>
      <w:drawing>
        <wp:anchor distT="0" distB="0" distL="114300" distR="114300" simplePos="0" relativeHeight="251658240" behindDoc="0" locked="1" layoutInCell="0" allowOverlap="0">
          <wp:simplePos x="0" y="0"/>
          <wp:positionH relativeFrom="page">
            <wp:posOffset>257175</wp:posOffset>
          </wp:positionH>
          <wp:positionV relativeFrom="page">
            <wp:posOffset>9603740</wp:posOffset>
          </wp:positionV>
          <wp:extent cx="170815" cy="539115"/>
          <wp:effectExtent l="19050" t="0" r="635" b="0"/>
          <wp:wrapNone/>
          <wp:docPr id="21" name="Image 21" descr="Vaud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aud_noir"/>
                  <pic:cNvPicPr>
                    <a:picLocks noChangeAspect="1" noChangeArrowheads="1"/>
                  </pic:cNvPicPr>
                </pic:nvPicPr>
                <pic:blipFill>
                  <a:blip r:embed="rId1"/>
                  <a:srcRect/>
                  <a:stretch>
                    <a:fillRect/>
                  </a:stretch>
                </pic:blipFill>
                <pic:spPr bwMode="auto">
                  <a:xfrm>
                    <a:off x="0" y="0"/>
                    <a:ext cx="170815" cy="539115"/>
                  </a:xfrm>
                  <a:prstGeom prst="rect">
                    <a:avLst/>
                  </a:prstGeom>
                  <a:noFill/>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D6" w:rsidRPr="001D3F17" w:rsidRDefault="0088128E" w:rsidP="008B6332">
    <w:pPr>
      <w:pStyle w:val="Pieddepage"/>
      <w:rPr>
        <w:rFonts w:ascii="Arial" w:hAnsi="Arial" w:cs="Arial"/>
      </w:rPr>
    </w:pPr>
    <w:r>
      <w:rPr>
        <w:rFonts w:ascii="Arial" w:hAnsi="Arial" w:cs="Arial"/>
        <w:noProof/>
      </w:rPr>
      <w:drawing>
        <wp:anchor distT="0" distB="0" distL="114300" distR="114300" simplePos="0" relativeHeight="251657216" behindDoc="0" locked="1" layoutInCell="0" allowOverlap="0">
          <wp:simplePos x="0" y="0"/>
          <wp:positionH relativeFrom="page">
            <wp:posOffset>362585</wp:posOffset>
          </wp:positionH>
          <wp:positionV relativeFrom="page">
            <wp:posOffset>9803130</wp:posOffset>
          </wp:positionV>
          <wp:extent cx="170815" cy="539115"/>
          <wp:effectExtent l="19050" t="0" r="635" b="0"/>
          <wp:wrapNone/>
          <wp:docPr id="17" name="Image 17" descr="Vaud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ud_noir"/>
                  <pic:cNvPicPr>
                    <a:picLocks noChangeAspect="1" noChangeArrowheads="1"/>
                  </pic:cNvPicPr>
                </pic:nvPicPr>
                <pic:blipFill>
                  <a:blip r:embed="rId1"/>
                  <a:srcRect/>
                  <a:stretch>
                    <a:fillRect/>
                  </a:stretch>
                </pic:blipFill>
                <pic:spPr bwMode="auto">
                  <a:xfrm>
                    <a:off x="0" y="0"/>
                    <a:ext cx="170815" cy="539115"/>
                  </a:xfrm>
                  <a:prstGeom prst="rect">
                    <a:avLst/>
                  </a:prstGeom>
                  <a:noFill/>
                </pic:spPr>
              </pic:pic>
            </a:graphicData>
          </a:graphic>
        </wp:anchor>
      </w:drawing>
    </w:r>
    <w:r w:rsidR="00BC08DA">
      <w:rPr>
        <w:rFonts w:ascii="Arial" w:hAnsi="Arial" w:cs="Arial"/>
        <w:sz w:val="16"/>
        <w:effect w:val="antsRed"/>
      </w:rPr>
      <w:t>27.09.2016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35B" w:rsidRDefault="00F5035B" w:rsidP="005E5EEA">
      <w:pPr>
        <w:spacing w:after="0" w:line="240" w:lineRule="auto"/>
      </w:pPr>
      <w:r>
        <w:separator/>
      </w:r>
    </w:p>
  </w:footnote>
  <w:footnote w:type="continuationSeparator" w:id="0">
    <w:p w:rsidR="00F5035B" w:rsidRDefault="00F5035B" w:rsidP="005E5E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15" w:rsidRDefault="0084201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15" w:rsidRDefault="0084201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left w:val="single" w:sz="4" w:space="0" w:color="auto"/>
      </w:tblBorders>
      <w:tblLook w:val="04A0"/>
    </w:tblPr>
    <w:tblGrid>
      <w:gridCol w:w="3936"/>
      <w:gridCol w:w="2835"/>
      <w:gridCol w:w="3717"/>
    </w:tblGrid>
    <w:tr w:rsidR="008523D6" w:rsidRPr="00006372" w:rsidTr="00A45101">
      <w:tc>
        <w:tcPr>
          <w:tcW w:w="3936" w:type="dxa"/>
          <w:tcBorders>
            <w:left w:val="nil"/>
            <w:right w:val="single" w:sz="4" w:space="0" w:color="auto"/>
          </w:tcBorders>
        </w:tcPr>
        <w:p w:rsidR="008523D6" w:rsidRPr="00006372" w:rsidRDefault="0088128E" w:rsidP="003E7228">
          <w:pPr>
            <w:pStyle w:val="En-tte"/>
            <w:rPr>
              <w:rFonts w:ascii="Arial" w:hAnsi="Arial" w:cs="Arial"/>
              <w:sz w:val="15"/>
              <w:szCs w:val="15"/>
            </w:rPr>
          </w:pPr>
          <w:r>
            <w:rPr>
              <w:rFonts w:ascii="Arial" w:hAnsi="Arial" w:cs="Arial"/>
              <w:noProof/>
            </w:rPr>
            <w:drawing>
              <wp:inline distT="0" distB="0" distL="0" distR="0">
                <wp:extent cx="2326005" cy="358140"/>
                <wp:effectExtent l="19050" t="0" r="0" b="0"/>
                <wp:docPr id="1" name="Image 1" descr="hpci_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i_400px"/>
                        <pic:cNvPicPr>
                          <a:picLocks noChangeAspect="1" noChangeArrowheads="1"/>
                        </pic:cNvPicPr>
                      </pic:nvPicPr>
                      <pic:blipFill>
                        <a:blip r:embed="rId1"/>
                        <a:srcRect/>
                        <a:stretch>
                          <a:fillRect/>
                        </a:stretch>
                      </pic:blipFill>
                      <pic:spPr bwMode="auto">
                        <a:xfrm>
                          <a:off x="0" y="0"/>
                          <a:ext cx="2326005" cy="358140"/>
                        </a:xfrm>
                        <a:prstGeom prst="rect">
                          <a:avLst/>
                        </a:prstGeom>
                        <a:noFill/>
                        <a:ln w="9525">
                          <a:noFill/>
                          <a:miter lim="800000"/>
                          <a:headEnd/>
                          <a:tailEnd/>
                        </a:ln>
                      </pic:spPr>
                    </pic:pic>
                  </a:graphicData>
                </a:graphic>
              </wp:inline>
            </w:drawing>
          </w:r>
        </w:p>
      </w:tc>
      <w:tc>
        <w:tcPr>
          <w:tcW w:w="2835" w:type="dxa"/>
          <w:tcBorders>
            <w:left w:val="single" w:sz="4" w:space="0" w:color="auto"/>
            <w:right w:val="nil"/>
          </w:tcBorders>
          <w:vAlign w:val="bottom"/>
        </w:tcPr>
        <w:p w:rsidR="008523D6" w:rsidRPr="001D3F17" w:rsidRDefault="008523D6" w:rsidP="001D3F17">
          <w:pPr>
            <w:spacing w:after="0" w:line="240" w:lineRule="auto"/>
            <w:rPr>
              <w:rFonts w:ascii="Arial" w:hAnsi="Arial" w:cs="Arial"/>
              <w:b/>
              <w:sz w:val="15"/>
              <w:szCs w:val="15"/>
            </w:rPr>
          </w:pPr>
        </w:p>
      </w:tc>
      <w:tc>
        <w:tcPr>
          <w:tcW w:w="3717" w:type="dxa"/>
          <w:tcBorders>
            <w:left w:val="nil"/>
          </w:tcBorders>
        </w:tcPr>
        <w:p w:rsidR="008523D6" w:rsidRPr="00006372" w:rsidRDefault="008523D6" w:rsidP="00A45101">
          <w:pPr>
            <w:pStyle w:val="En-tte"/>
            <w:ind w:left="1593"/>
            <w:rPr>
              <w:sz w:val="15"/>
              <w:szCs w:val="15"/>
            </w:rPr>
          </w:pPr>
          <w:r>
            <w:rPr>
              <w:rFonts w:ascii="Arial" w:hAnsi="Arial" w:cs="Arial"/>
              <w:noProof/>
            </w:rPr>
            <w:t xml:space="preserve"> </w:t>
          </w:r>
        </w:p>
      </w:tc>
    </w:tr>
  </w:tbl>
  <w:p w:rsidR="008523D6" w:rsidRPr="005423D0" w:rsidRDefault="008523D6" w:rsidP="00475152">
    <w:pPr>
      <w:pStyle w:val="En-tte"/>
      <w:pBdr>
        <w:bottom w:val="single" w:sz="4" w:space="1"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84044"/>
    <w:multiLevelType w:val="hybridMultilevel"/>
    <w:tmpl w:val="F1F6311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2FB4DB3"/>
    <w:multiLevelType w:val="hybridMultilevel"/>
    <w:tmpl w:val="44E2DDD0"/>
    <w:lvl w:ilvl="0" w:tplc="10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
    <w:nsid w:val="7A295595"/>
    <w:multiLevelType w:val="hybridMultilevel"/>
    <w:tmpl w:val="069857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hdrShapeDefaults>
    <o:shapedefaults v:ext="edit" spidmax="6146">
      <o:colormenu v:ext="edit" strokecolor="none [3212]"/>
    </o:shapedefaults>
  </w:hdrShapeDefaults>
  <w:footnotePr>
    <w:footnote w:id="-1"/>
    <w:footnote w:id="0"/>
  </w:footnotePr>
  <w:endnotePr>
    <w:endnote w:id="-1"/>
    <w:endnote w:id="0"/>
  </w:endnotePr>
  <w:compat/>
  <w:docVars>
    <w:docVar w:name="SYSIDTEMPLATE" w:val="900891"/>
    <w:docVar w:name="SYSIDVERSION" w:val="949751"/>
    <w:docVar w:name="SYSPASSWORD" w:val="0"/>
    <w:docVar w:name="SYSTABNUM" w:val="22"/>
  </w:docVars>
  <w:rsids>
    <w:rsidRoot w:val="005A3E51"/>
    <w:rsid w:val="00006372"/>
    <w:rsid w:val="00044013"/>
    <w:rsid w:val="00074541"/>
    <w:rsid w:val="00082C7D"/>
    <w:rsid w:val="000834ED"/>
    <w:rsid w:val="000839B4"/>
    <w:rsid w:val="000B4627"/>
    <w:rsid w:val="000D3019"/>
    <w:rsid w:val="000F5AAC"/>
    <w:rsid w:val="00157E5B"/>
    <w:rsid w:val="00184249"/>
    <w:rsid w:val="0018763A"/>
    <w:rsid w:val="00187878"/>
    <w:rsid w:val="001C23B6"/>
    <w:rsid w:val="001D3F17"/>
    <w:rsid w:val="001F6CF2"/>
    <w:rsid w:val="00247085"/>
    <w:rsid w:val="002513A7"/>
    <w:rsid w:val="0027007A"/>
    <w:rsid w:val="00277AD7"/>
    <w:rsid w:val="00281E55"/>
    <w:rsid w:val="002A41DA"/>
    <w:rsid w:val="002D5D9B"/>
    <w:rsid w:val="00374C62"/>
    <w:rsid w:val="003C05FB"/>
    <w:rsid w:val="003C30C4"/>
    <w:rsid w:val="003E7228"/>
    <w:rsid w:val="00417E0D"/>
    <w:rsid w:val="00475152"/>
    <w:rsid w:val="004C3CCE"/>
    <w:rsid w:val="005423D0"/>
    <w:rsid w:val="0055398C"/>
    <w:rsid w:val="005A3E51"/>
    <w:rsid w:val="005E5EEA"/>
    <w:rsid w:val="00610AAD"/>
    <w:rsid w:val="00624F9A"/>
    <w:rsid w:val="0065769F"/>
    <w:rsid w:val="008050AA"/>
    <w:rsid w:val="008307E3"/>
    <w:rsid w:val="00842015"/>
    <w:rsid w:val="008523D6"/>
    <w:rsid w:val="0088128E"/>
    <w:rsid w:val="008B6332"/>
    <w:rsid w:val="008B735F"/>
    <w:rsid w:val="008E4A25"/>
    <w:rsid w:val="008F04F8"/>
    <w:rsid w:val="00910C00"/>
    <w:rsid w:val="00910F1D"/>
    <w:rsid w:val="00923512"/>
    <w:rsid w:val="00966069"/>
    <w:rsid w:val="009A4D3B"/>
    <w:rsid w:val="009E25AC"/>
    <w:rsid w:val="00A06220"/>
    <w:rsid w:val="00A45101"/>
    <w:rsid w:val="00A70F98"/>
    <w:rsid w:val="00B12738"/>
    <w:rsid w:val="00B21A34"/>
    <w:rsid w:val="00B264B6"/>
    <w:rsid w:val="00B76AD9"/>
    <w:rsid w:val="00B804ED"/>
    <w:rsid w:val="00B946ED"/>
    <w:rsid w:val="00BA7655"/>
    <w:rsid w:val="00BC08DA"/>
    <w:rsid w:val="00BD4025"/>
    <w:rsid w:val="00C144E0"/>
    <w:rsid w:val="00C3092E"/>
    <w:rsid w:val="00C343D6"/>
    <w:rsid w:val="00C42A92"/>
    <w:rsid w:val="00C90133"/>
    <w:rsid w:val="00D2599D"/>
    <w:rsid w:val="00D35567"/>
    <w:rsid w:val="00D36E50"/>
    <w:rsid w:val="00DA46E5"/>
    <w:rsid w:val="00DD196E"/>
    <w:rsid w:val="00DF1908"/>
    <w:rsid w:val="00E314B9"/>
    <w:rsid w:val="00E3195D"/>
    <w:rsid w:val="00EB3793"/>
    <w:rsid w:val="00ED339A"/>
    <w:rsid w:val="00EF2ADA"/>
    <w:rsid w:val="00F5035B"/>
    <w:rsid w:val="00F50DA7"/>
    <w:rsid w:val="00F61B94"/>
    <w:rsid w:val="00FC6D3F"/>
    <w:rsid w:val="00FE3910"/>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7A"/>
    <w:pPr>
      <w:spacing w:after="200" w:line="276" w:lineRule="auto"/>
    </w:pPr>
    <w:rPr>
      <w:sz w:val="22"/>
      <w:szCs w:val="22"/>
    </w:rPr>
  </w:style>
  <w:style w:type="paragraph" w:styleId="Titre1">
    <w:name w:val="heading 1"/>
    <w:basedOn w:val="Normal"/>
    <w:next w:val="Normal"/>
    <w:link w:val="Titre1Car"/>
    <w:qFormat/>
    <w:rsid w:val="00417E0D"/>
    <w:pPr>
      <w:keepNext/>
      <w:shd w:val="clear" w:color="auto" w:fill="FF6600"/>
      <w:spacing w:before="240" w:after="0" w:line="240" w:lineRule="auto"/>
      <w:jc w:val="center"/>
      <w:outlineLvl w:val="0"/>
    </w:pPr>
    <w:rPr>
      <w:rFonts w:ascii="Arial" w:hAnsi="Arial" w:cs="Arial"/>
      <w:caps/>
      <w:sz w:val="28"/>
      <w:szCs w:val="24"/>
      <w:lang w:val="fr-FR" w:eastAsia="fr-FR"/>
    </w:rPr>
  </w:style>
  <w:style w:type="paragraph" w:styleId="Titre5">
    <w:name w:val="heading 5"/>
    <w:basedOn w:val="Normal"/>
    <w:next w:val="Normal"/>
    <w:link w:val="Titre5Car"/>
    <w:qFormat/>
    <w:rsid w:val="00417E0D"/>
    <w:pPr>
      <w:overflowPunct w:val="0"/>
      <w:autoSpaceDE w:val="0"/>
      <w:autoSpaceDN w:val="0"/>
      <w:adjustRightInd w:val="0"/>
      <w:spacing w:before="240" w:after="60" w:line="240" w:lineRule="auto"/>
      <w:jc w:val="both"/>
      <w:textAlignment w:val="baseline"/>
      <w:outlineLvl w:val="4"/>
    </w:pPr>
    <w:rPr>
      <w:rFonts w:ascii="Arial" w:hAnsi="Arial"/>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5EEA"/>
    <w:pPr>
      <w:tabs>
        <w:tab w:val="center" w:pos="4536"/>
        <w:tab w:val="right" w:pos="9072"/>
      </w:tabs>
      <w:spacing w:after="0" w:line="240" w:lineRule="auto"/>
    </w:pPr>
  </w:style>
  <w:style w:type="character" w:customStyle="1" w:styleId="En-tteCar">
    <w:name w:val="En-tête Car"/>
    <w:basedOn w:val="Policepardfaut"/>
    <w:link w:val="En-tte"/>
    <w:uiPriority w:val="99"/>
    <w:rsid w:val="005E5EEA"/>
  </w:style>
  <w:style w:type="paragraph" w:styleId="Pieddepage">
    <w:name w:val="footer"/>
    <w:basedOn w:val="Normal"/>
    <w:link w:val="PieddepageCar"/>
    <w:uiPriority w:val="99"/>
    <w:unhideWhenUsed/>
    <w:rsid w:val="005E5E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5EEA"/>
  </w:style>
  <w:style w:type="paragraph" w:styleId="Textedebulles">
    <w:name w:val="Balloon Text"/>
    <w:basedOn w:val="Normal"/>
    <w:link w:val="TextedebullesCar"/>
    <w:uiPriority w:val="99"/>
    <w:semiHidden/>
    <w:unhideWhenUsed/>
    <w:rsid w:val="005E5E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5EEA"/>
    <w:rPr>
      <w:rFonts w:ascii="Tahoma" w:hAnsi="Tahoma" w:cs="Tahoma"/>
      <w:sz w:val="16"/>
      <w:szCs w:val="16"/>
    </w:rPr>
  </w:style>
  <w:style w:type="table" w:styleId="Grilledutableau">
    <w:name w:val="Table Grid"/>
    <w:basedOn w:val="TableauNormal"/>
    <w:uiPriority w:val="59"/>
    <w:rsid w:val="00910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417E0D"/>
    <w:rPr>
      <w:rFonts w:ascii="Arial" w:hAnsi="Arial" w:cs="Arial"/>
      <w:caps/>
      <w:sz w:val="28"/>
      <w:szCs w:val="24"/>
      <w:shd w:val="clear" w:color="auto" w:fill="FF6600"/>
      <w:lang w:val="fr-FR" w:eastAsia="fr-FR"/>
    </w:rPr>
  </w:style>
  <w:style w:type="character" w:customStyle="1" w:styleId="Titre5Car">
    <w:name w:val="Titre 5 Car"/>
    <w:basedOn w:val="Policepardfaut"/>
    <w:link w:val="Titre5"/>
    <w:rsid w:val="00417E0D"/>
    <w:rPr>
      <w:rFonts w:ascii="Arial" w:hAnsi="Arial"/>
      <w:sz w:val="22"/>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01493-2838-42CA-9440-4BF35EB0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1898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CHUV | Centre hospitalier universitaire vaudois</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vdocsvc</dc:creator>
  <cp:lastModifiedBy>Petignat Christiane (HOS42905)</cp:lastModifiedBy>
  <cp:revision>2</cp:revision>
  <cp:lastPrinted>2014-09-10T08:39:00Z</cp:lastPrinted>
  <dcterms:created xsi:type="dcterms:W3CDTF">2016-09-27T15:05:00Z</dcterms:created>
  <dcterms:modified xsi:type="dcterms:W3CDTF">2016-09-27T15:05:00Z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kCheckIn">
    <vt:i4>0</vt:i4>
  </property>
  <property fmtid="{D5CDD505-2E9C-101B-9397-08002B2CF9AE}" pid="3" name="IDVERSION">
    <vt:lpwstr>949756</vt:lpwstr>
  </property>
  <property fmtid="{D5CDD505-2E9C-101B-9397-08002B2CF9AE}" pid="4" name="DATABASENAME">
    <vt:lpwstr>VDOC_CHUV</vt:lpwstr>
  </property>
  <property fmtid="{D5CDD505-2E9C-101B-9397-08002B2CF9AE}" pid="5" name="HTTPMODE">
    <vt:lpwstr>http://</vt:lpwstr>
  </property>
  <property fmtid="{D5CDD505-2E9C-101B-9397-08002B2CF9AE}" pid="6" name="IIS_SERVERNAME">
    <vt:lpwstr>VDS1</vt:lpwstr>
  </property>
  <property fmtid="{D5CDD505-2E9C-101B-9397-08002B2CF9AE}" pid="7" name="IIS_SERVER">
    <vt:lpwstr>gedchuv.intranet.chuv</vt:lpwstr>
  </property>
  <property fmtid="{D5CDD505-2E9C-101B-9397-08002B2CF9AE}" pid="8" name="DB_GUID">
    <vt:lpwstr>{9CF397AD-894F-4ECE-94F3-CA5DB7B59846}</vt:lpwstr>
  </property>
  <property fmtid="{D5CDD505-2E9C-101B-9397-08002B2CF9AE}" pid="9" name="CHECKOUTBY">
    <vt:lpwstr>Petignat Christiane</vt:lpwstr>
  </property>
  <property fmtid="{D5CDD505-2E9C-101B-9397-08002B2CF9AE}" pid="10" name="CHECKOUTBY_USERID">
    <vt:lpwstr>700107</vt:lpwstr>
  </property>
  <property fmtid="{D5CDD505-2E9C-101B-9397-08002B2CF9AE}" pid="11" name="CHECKOUTDATE">
    <vt:lpwstr>27/09/2016</vt:lpwstr>
  </property>
  <property fmtid="{D5CDD505-2E9C-101B-9397-08002B2CF9AE}" pid="12" name="VERSION">
    <vt:lpwstr>1.2</vt:lpwstr>
  </property>
  <property fmtid="{D5CDD505-2E9C-101B-9397-08002B2CF9AE}" pid="13" name="CURSTEPNAME">
    <vt:lpwstr>Application</vt:lpwstr>
  </property>
  <property fmtid="{D5CDD505-2E9C-101B-9397-08002B2CF9AE}" pid="14" name="CUROPENAME">
    <vt:lpwstr>Not implemented</vt:lpwstr>
  </property>
  <property fmtid="{D5CDD505-2E9C-101B-9397-08002B2CF9AE}" pid="15" name="NEXTOPENAME">
    <vt:lpwstr>Not implemented</vt:lpwstr>
  </property>
  <property fmtid="{D5CDD505-2E9C-101B-9397-08002B2CF9AE}" pid="16" name="RESPNAME">
    <vt:lpwstr>Petignat Christiane</vt:lpwstr>
  </property>
  <property fmtid="{D5CDD505-2E9C-101B-9397-08002B2CF9AE}" pid="17" name="CREATORNAME">
    <vt:lpwstr>Petignat Christiane</vt:lpwstr>
  </property>
  <property fmtid="{D5CDD505-2E9C-101B-9397-08002B2CF9AE}" pid="18" name="CREATEDATE">
    <vt:lpwstr>27/09/2016</vt:lpwstr>
  </property>
  <property fmtid="{D5CDD505-2E9C-101B-9397-08002B2CF9AE}" pid="19" name="VERIFICATORNAME">
    <vt:lpwstr>Petignat Christiane</vt:lpwstr>
  </property>
  <property fmtid="{D5CDD505-2E9C-101B-9397-08002B2CF9AE}" pid="20" name="VERIFICATIONDATE">
    <vt:lpwstr>27/09/2016</vt:lpwstr>
  </property>
  <property fmtid="{D5CDD505-2E9C-101B-9397-08002B2CF9AE}" pid="21" name="REDACTORNAME">
    <vt:lpwstr>Petignat Christiane</vt:lpwstr>
  </property>
  <property fmtid="{D5CDD505-2E9C-101B-9397-08002B2CF9AE}" pid="22" name="REDACTIONDATE">
    <vt:lpwstr>27/09/2016</vt:lpwstr>
  </property>
  <property fmtid="{D5CDD505-2E9C-101B-9397-08002B2CF9AE}" pid="23" name="APPROBATORNAME">
    <vt:lpwstr>Petignat Christiane</vt:lpwstr>
  </property>
  <property fmtid="{D5CDD505-2E9C-101B-9397-08002B2CF9AE}" pid="24" name="APPROBATIONDATE">
    <vt:lpwstr>27/09/2016</vt:lpwstr>
  </property>
  <property fmtid="{D5CDD505-2E9C-101B-9397-08002B2CF9AE}" pid="25" name="IDFILE">
    <vt:lpwstr>1164639</vt:lpwstr>
  </property>
  <property fmtid="{D5CDD505-2E9C-101B-9397-08002B2CF9AE}" pid="26" name="CHECKSUM">
    <vt:lpwstr>29515</vt:lpwstr>
  </property>
  <property fmtid="{D5CDD505-2E9C-101B-9397-08002B2CF9AE}" pid="27" name="IDENTITIES">
    <vt:lpwstr/>
  </property>
  <property fmtid="{D5CDD505-2E9C-101B-9397-08002B2CF9AE}" pid="28" name="ENTITYNAME">
    <vt:lpwstr/>
  </property>
  <property fmtid="{D5CDD505-2E9C-101B-9397-08002B2CF9AE}" pid="29" name="REFERENCE">
    <vt:lpwstr>HPCI_W_FT_00195</vt:lpwstr>
  </property>
  <property fmtid="{D5CDD505-2E9C-101B-9397-08002B2CF9AE}" pid="30" name="TITLE">
    <vt:lpwstr>DP - DPCA - test d'équilibration péritonéale - préparation du patient</vt:lpwstr>
  </property>
  <property fmtid="{D5CDD505-2E9C-101B-9397-08002B2CF9AE}" pid="31" name="VDOC_FREE_INITIALES_DES_UNITÉS">
    <vt:lpwstr>HPCI</vt:lpwstr>
  </property>
  <property fmtid="{D5CDD505-2E9C-101B-9397-08002B2CF9AE}" pid="32" name="VDOC_FREE_LISTE_DES_DOCUMENTS">
    <vt:lpwstr>FT</vt:lpwstr>
  </property>
  <property fmtid="{D5CDD505-2E9C-101B-9397-08002B2CF9AE}" pid="33" name="VDOC_FREE_LISTE_DE_PROCESSUS">
    <vt:lpwstr>W</vt:lpwstr>
  </property>
  <property fmtid="{D5CDD505-2E9C-101B-9397-08002B2CF9AE}" pid="34" name="OFFICIAL">
    <vt:lpwstr>Petignat Christiane</vt:lpwstr>
  </property>
</Properties>
</file>