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17" w:rsidRPr="008544DA" w:rsidRDefault="001D3F17" w:rsidP="001D3F17">
      <w:pPr>
        <w:tabs>
          <w:tab w:val="right" w:pos="10348"/>
        </w:tabs>
        <w:spacing w:after="0" w:line="240" w:lineRule="auto"/>
        <w:rPr>
          <w:rFonts w:ascii="Arial" w:hAnsi="Arial" w:cs="Arial"/>
          <w:b/>
          <w:sz w:val="20"/>
          <w:szCs w:val="20"/>
        </w:rPr>
      </w:pPr>
    </w:p>
    <w:p w:rsidR="008544DA" w:rsidRDefault="008544DA" w:rsidP="008544DA">
      <w:pPr>
        <w:shd w:val="clear" w:color="auto" w:fill="FF6600"/>
        <w:jc w:val="center"/>
        <w:rPr>
          <w:rFonts w:ascii="Arial" w:hAnsi="Arial" w:cs="Arial"/>
          <w:b/>
          <w:bCs/>
          <w:caps/>
          <w:sz w:val="16"/>
        </w:rPr>
      </w:pPr>
    </w:p>
    <w:p w:rsidR="008544DA" w:rsidRDefault="008544DA" w:rsidP="008544DA">
      <w:pPr>
        <w:shd w:val="clear" w:color="auto" w:fill="FF6600"/>
        <w:spacing w:after="120"/>
        <w:jc w:val="center"/>
        <w:rPr>
          <w:rFonts w:ascii="Arial" w:hAnsi="Arial" w:cs="Arial"/>
          <w:b/>
          <w:bCs/>
          <w:caps/>
          <w:sz w:val="28"/>
        </w:rPr>
      </w:pPr>
      <w:r>
        <w:rPr>
          <w:rFonts w:ascii="Arial" w:hAnsi="Arial" w:cs="Arial"/>
          <w:b/>
          <w:bCs/>
          <w:caps/>
          <w:sz w:val="28"/>
        </w:rPr>
        <w:t>mesure de la pression hydrostatique intra-peritoneale</w:t>
      </w:r>
    </w:p>
    <w:p w:rsidR="008544DA" w:rsidRPr="0090691D" w:rsidRDefault="008544DA" w:rsidP="008544DA">
      <w:pPr>
        <w:shd w:val="clear" w:color="auto" w:fill="FF6600"/>
        <w:spacing w:after="120"/>
        <w:jc w:val="center"/>
        <w:rPr>
          <w:rFonts w:ascii="Arial" w:hAnsi="Arial" w:cs="Arial"/>
          <w:b/>
          <w:bCs/>
          <w:caps/>
          <w:sz w:val="28"/>
          <w:lang w:val="en-GB"/>
        </w:rPr>
      </w:pPr>
      <w:r w:rsidRPr="0090691D">
        <w:rPr>
          <w:rFonts w:ascii="Arial" w:hAnsi="Arial" w:cs="Arial"/>
          <w:b/>
          <w:bCs/>
          <w:caps/>
          <w:sz w:val="28"/>
          <w:lang w:val="en-GB"/>
        </w:rPr>
        <w:t>« P.I.P»</w:t>
      </w:r>
    </w:p>
    <w:p w:rsidR="008544DA" w:rsidRPr="0090691D" w:rsidRDefault="008544DA" w:rsidP="008544DA">
      <w:pPr>
        <w:shd w:val="clear" w:color="auto" w:fill="FF6600"/>
        <w:spacing w:before="240" w:after="120"/>
        <w:jc w:val="center"/>
        <w:rPr>
          <w:rFonts w:ascii="Arial" w:hAnsi="Arial" w:cs="Arial"/>
          <w:b/>
          <w:bCs/>
          <w:caps/>
          <w:sz w:val="28"/>
          <w:lang w:val="en-GB"/>
        </w:rPr>
      </w:pPr>
      <w:r w:rsidRPr="0090691D">
        <w:rPr>
          <w:rFonts w:ascii="Arial" w:hAnsi="Arial" w:cs="Arial"/>
          <w:b/>
          <w:bCs/>
          <w:caps/>
          <w:sz w:val="28"/>
          <w:lang w:val="en-GB"/>
        </w:rPr>
        <w:t>avec systeme stay-safe® fresenius</w:t>
      </w:r>
    </w:p>
    <w:p w:rsidR="008544DA" w:rsidRDefault="008544DA" w:rsidP="008544DA">
      <w:pPr>
        <w:shd w:val="clear" w:color="auto" w:fill="FF6600"/>
        <w:spacing w:after="120"/>
        <w:jc w:val="center"/>
        <w:rPr>
          <w:rFonts w:ascii="Arial" w:hAnsi="Arial" w:cs="Arial"/>
          <w:b/>
          <w:bCs/>
          <w:caps/>
          <w:sz w:val="28"/>
        </w:rPr>
      </w:pPr>
      <w:r>
        <w:rPr>
          <w:rFonts w:ascii="Arial" w:hAnsi="Arial" w:cs="Arial"/>
          <w:b/>
          <w:bCs/>
          <w:caps/>
          <w:sz w:val="28"/>
        </w:rPr>
        <w:t>ou</w:t>
      </w:r>
    </w:p>
    <w:p w:rsidR="008544DA" w:rsidRDefault="008544DA" w:rsidP="008544DA">
      <w:pPr>
        <w:shd w:val="clear" w:color="auto" w:fill="FF6600"/>
        <w:spacing w:after="120"/>
        <w:jc w:val="center"/>
        <w:rPr>
          <w:rFonts w:ascii="Arial" w:hAnsi="Arial" w:cs="Arial"/>
          <w:caps/>
          <w:sz w:val="36"/>
        </w:rPr>
      </w:pPr>
      <w:r>
        <w:rPr>
          <w:rFonts w:ascii="Arial" w:hAnsi="Arial" w:cs="Arial"/>
          <w:b/>
          <w:bCs/>
          <w:caps/>
          <w:sz w:val="28"/>
        </w:rPr>
        <w:t>systeme Baxter</w:t>
      </w:r>
    </w:p>
    <w:p w:rsidR="008544DA" w:rsidRDefault="008544DA" w:rsidP="008544DA">
      <w:pPr>
        <w:pStyle w:val="Titre5"/>
        <w:rPr>
          <w:rFonts w:cs="Arial"/>
          <w:b/>
          <w:bCs/>
          <w:caps/>
          <w:sz w:val="24"/>
          <w:u w:val="single"/>
        </w:rPr>
      </w:pPr>
      <w:r>
        <w:rPr>
          <w:rFonts w:cs="Arial"/>
          <w:b/>
          <w:bCs/>
          <w:caps/>
          <w:sz w:val="24"/>
          <w:u w:val="single"/>
        </w:rPr>
        <w:t>BUT</w:t>
      </w:r>
    </w:p>
    <w:p w:rsidR="008544DA" w:rsidRDefault="008544DA" w:rsidP="008544DA">
      <w:pPr>
        <w:pStyle w:val="Titre5"/>
        <w:spacing w:before="120"/>
        <w:rPr>
          <w:rFonts w:cs="Arial"/>
          <w:bCs/>
          <w:sz w:val="20"/>
        </w:rPr>
      </w:pPr>
      <w:r>
        <w:rPr>
          <w:rFonts w:cs="Arial"/>
          <w:bCs/>
          <w:sz w:val="20"/>
        </w:rPr>
        <w:t xml:space="preserve">La pression hydrostatique intra-péritonéale sert à apprécier la tolérance du volume intra-péritonéal et constitue ainsi une aide à la prescription du volume d’infusion. Elle sert également à optimiser l’ultrafiltration. Le principe repose sur la mesure de la hauteur de la colonne de dialysat à pression atmosphérique dans la ligne de drainage, avant le drainage du volume de dialysat intra-péritonéal. </w:t>
      </w:r>
    </w:p>
    <w:p w:rsidR="008544DA" w:rsidRDefault="008544DA" w:rsidP="008544DA">
      <w:pPr>
        <w:spacing w:before="240" w:after="60"/>
        <w:jc w:val="both"/>
        <w:rPr>
          <w:rFonts w:ascii="Arial" w:hAnsi="Arial" w:cs="Arial"/>
          <w:sz w:val="20"/>
        </w:rPr>
      </w:pPr>
      <w:r>
        <w:rPr>
          <w:rFonts w:ascii="Arial" w:hAnsi="Arial" w:cs="Arial"/>
          <w:sz w:val="20"/>
        </w:rPr>
        <w:t>La P.I.P normale d’un adulte est de 12 +/- 2cm H2O pour un volume intra-péritonéal de 2 litres (13cm H2O à l’inspiration, 11cm H2O à l’expiration). La P.I.P augmente linéairement de 2cm H2O par litre supplémentaire intra-péritonéal. Une valeur de P.I.P &lt; à 18cm H2O correspond à un volume intra-péritonéal généralement bien supporté pour un patient sans insuffisance cardiaque ou respiratoire. Une valeur de P.I.P &gt; 18cm H2O est souvent mal tolérée cliniquement (troubles du sommeil, nausées, vomissements, polypnées, douleurs abdominales). L’utilisation de volumes dialytiques donnant une P.I.P en-dessous des normes assure une ultrafiltration optimale.</w:t>
      </w:r>
    </w:p>
    <w:p w:rsidR="008544DA" w:rsidRDefault="008544DA" w:rsidP="008544DA">
      <w:pPr>
        <w:jc w:val="both"/>
        <w:rPr>
          <w:rFonts w:ascii="Arial" w:hAnsi="Arial" w:cs="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5"/>
        <w:gridCol w:w="4605"/>
      </w:tblGrid>
      <w:tr w:rsidR="008544DA" w:rsidTr="00096DFF">
        <w:tc>
          <w:tcPr>
            <w:tcW w:w="4535" w:type="dxa"/>
          </w:tcPr>
          <w:p w:rsidR="008544DA" w:rsidRDefault="008544DA" w:rsidP="00096DFF">
            <w:pPr>
              <w:jc w:val="center"/>
              <w:rPr>
                <w:rFonts w:ascii="Arial" w:hAnsi="Arial" w:cs="Arial"/>
                <w:b/>
                <w:bCs/>
                <w:sz w:val="20"/>
              </w:rPr>
            </w:pPr>
            <w:r>
              <w:rPr>
                <w:rFonts w:ascii="Arial" w:hAnsi="Arial" w:cs="Arial"/>
                <w:b/>
                <w:bCs/>
                <w:sz w:val="20"/>
              </w:rPr>
              <w:t>P.I.P mesurée avec un V.I.P de 2 litres</w:t>
            </w:r>
          </w:p>
        </w:tc>
        <w:tc>
          <w:tcPr>
            <w:tcW w:w="4605" w:type="dxa"/>
          </w:tcPr>
          <w:p w:rsidR="008544DA" w:rsidRDefault="008544DA" w:rsidP="00096DFF">
            <w:pPr>
              <w:jc w:val="center"/>
              <w:rPr>
                <w:rFonts w:ascii="Arial" w:hAnsi="Arial" w:cs="Arial"/>
                <w:b/>
                <w:bCs/>
                <w:sz w:val="20"/>
              </w:rPr>
            </w:pPr>
            <w:r>
              <w:rPr>
                <w:rFonts w:ascii="Arial" w:hAnsi="Arial" w:cs="Arial"/>
                <w:b/>
                <w:bCs/>
                <w:sz w:val="20"/>
              </w:rPr>
              <w:t>Volume maximal à prescrire</w:t>
            </w:r>
          </w:p>
        </w:tc>
      </w:tr>
      <w:tr w:rsidR="008544DA" w:rsidTr="00096DFF">
        <w:tc>
          <w:tcPr>
            <w:tcW w:w="4535" w:type="dxa"/>
          </w:tcPr>
          <w:p w:rsidR="008544DA" w:rsidRDefault="008544DA" w:rsidP="00096DFF">
            <w:pPr>
              <w:rPr>
                <w:rFonts w:ascii="Arial" w:hAnsi="Arial" w:cs="Arial"/>
                <w:sz w:val="20"/>
              </w:rPr>
            </w:pPr>
            <w:r>
              <w:rPr>
                <w:rFonts w:ascii="Arial" w:hAnsi="Arial" w:cs="Arial"/>
                <w:sz w:val="20"/>
              </w:rPr>
              <w:t xml:space="preserve">                           &lt; 14 cm H2O</w:t>
            </w:r>
          </w:p>
        </w:tc>
        <w:tc>
          <w:tcPr>
            <w:tcW w:w="4605" w:type="dxa"/>
          </w:tcPr>
          <w:p w:rsidR="008544DA" w:rsidRDefault="008544DA" w:rsidP="00096DFF">
            <w:pPr>
              <w:jc w:val="center"/>
              <w:rPr>
                <w:rFonts w:ascii="Arial" w:hAnsi="Arial" w:cs="Arial"/>
                <w:sz w:val="20"/>
              </w:rPr>
            </w:pPr>
            <w:r>
              <w:rPr>
                <w:rFonts w:ascii="Arial" w:hAnsi="Arial" w:cs="Arial"/>
                <w:sz w:val="20"/>
              </w:rPr>
              <w:t>3 litres</w:t>
            </w:r>
          </w:p>
        </w:tc>
      </w:tr>
      <w:tr w:rsidR="008544DA" w:rsidTr="00096DFF">
        <w:tc>
          <w:tcPr>
            <w:tcW w:w="4535" w:type="dxa"/>
          </w:tcPr>
          <w:p w:rsidR="008544DA" w:rsidRDefault="008544DA" w:rsidP="00096DFF">
            <w:pPr>
              <w:jc w:val="center"/>
              <w:rPr>
                <w:rFonts w:ascii="Arial" w:hAnsi="Arial" w:cs="Arial"/>
                <w:sz w:val="20"/>
              </w:rPr>
            </w:pPr>
            <w:r>
              <w:rPr>
                <w:rFonts w:ascii="Arial" w:hAnsi="Arial" w:cs="Arial"/>
                <w:sz w:val="20"/>
              </w:rPr>
              <w:t>15 cm H2O</w:t>
            </w:r>
          </w:p>
        </w:tc>
        <w:tc>
          <w:tcPr>
            <w:tcW w:w="4605" w:type="dxa"/>
          </w:tcPr>
          <w:p w:rsidR="008544DA" w:rsidRDefault="008544DA" w:rsidP="00096DFF">
            <w:pPr>
              <w:jc w:val="center"/>
              <w:rPr>
                <w:rFonts w:ascii="Arial" w:hAnsi="Arial" w:cs="Arial"/>
                <w:sz w:val="20"/>
              </w:rPr>
            </w:pPr>
            <w:r>
              <w:rPr>
                <w:rFonts w:ascii="Arial" w:hAnsi="Arial" w:cs="Arial"/>
                <w:sz w:val="20"/>
              </w:rPr>
              <w:t>2.5 litres</w:t>
            </w:r>
          </w:p>
        </w:tc>
      </w:tr>
      <w:tr w:rsidR="008544DA" w:rsidTr="00096DFF">
        <w:tc>
          <w:tcPr>
            <w:tcW w:w="4535" w:type="dxa"/>
          </w:tcPr>
          <w:p w:rsidR="008544DA" w:rsidRDefault="008544DA" w:rsidP="00096DFF">
            <w:pPr>
              <w:jc w:val="center"/>
              <w:rPr>
                <w:rFonts w:ascii="Arial" w:hAnsi="Arial" w:cs="Arial"/>
                <w:sz w:val="20"/>
              </w:rPr>
            </w:pPr>
            <w:r>
              <w:rPr>
                <w:rFonts w:ascii="Arial" w:hAnsi="Arial" w:cs="Arial"/>
                <w:sz w:val="20"/>
              </w:rPr>
              <w:t>16 cm H2O</w:t>
            </w:r>
          </w:p>
        </w:tc>
        <w:tc>
          <w:tcPr>
            <w:tcW w:w="4605" w:type="dxa"/>
          </w:tcPr>
          <w:p w:rsidR="008544DA" w:rsidRDefault="008544DA" w:rsidP="00096DFF">
            <w:pPr>
              <w:jc w:val="center"/>
              <w:rPr>
                <w:rFonts w:ascii="Arial" w:hAnsi="Arial" w:cs="Arial"/>
                <w:sz w:val="20"/>
              </w:rPr>
            </w:pPr>
            <w:r>
              <w:rPr>
                <w:rFonts w:ascii="Arial" w:hAnsi="Arial" w:cs="Arial"/>
                <w:sz w:val="20"/>
              </w:rPr>
              <w:t>2 litres</w:t>
            </w:r>
          </w:p>
        </w:tc>
      </w:tr>
      <w:tr w:rsidR="008544DA" w:rsidTr="00096DFF">
        <w:tc>
          <w:tcPr>
            <w:tcW w:w="4535" w:type="dxa"/>
          </w:tcPr>
          <w:p w:rsidR="008544DA" w:rsidRDefault="008544DA" w:rsidP="00096DFF">
            <w:pPr>
              <w:jc w:val="center"/>
              <w:rPr>
                <w:rFonts w:ascii="Arial" w:hAnsi="Arial" w:cs="Arial"/>
                <w:sz w:val="20"/>
              </w:rPr>
            </w:pPr>
            <w:r>
              <w:rPr>
                <w:rFonts w:ascii="Arial" w:hAnsi="Arial" w:cs="Arial"/>
                <w:sz w:val="20"/>
              </w:rPr>
              <w:t>17 cm H2O</w:t>
            </w:r>
          </w:p>
        </w:tc>
        <w:tc>
          <w:tcPr>
            <w:tcW w:w="4605" w:type="dxa"/>
          </w:tcPr>
          <w:p w:rsidR="008544DA" w:rsidRDefault="008544DA" w:rsidP="00096DFF">
            <w:pPr>
              <w:jc w:val="center"/>
              <w:rPr>
                <w:rFonts w:ascii="Arial" w:hAnsi="Arial" w:cs="Arial"/>
                <w:sz w:val="20"/>
              </w:rPr>
            </w:pPr>
            <w:r>
              <w:rPr>
                <w:rFonts w:ascii="Arial" w:hAnsi="Arial" w:cs="Arial"/>
                <w:sz w:val="20"/>
              </w:rPr>
              <w:t>1.5 litres</w:t>
            </w:r>
          </w:p>
        </w:tc>
      </w:tr>
      <w:tr w:rsidR="008544DA" w:rsidTr="00096DFF">
        <w:tc>
          <w:tcPr>
            <w:tcW w:w="4535" w:type="dxa"/>
          </w:tcPr>
          <w:p w:rsidR="008544DA" w:rsidRDefault="008544DA" w:rsidP="00096DFF">
            <w:pPr>
              <w:jc w:val="center"/>
              <w:rPr>
                <w:rFonts w:ascii="Arial" w:hAnsi="Arial" w:cs="Arial"/>
                <w:sz w:val="20"/>
              </w:rPr>
            </w:pPr>
            <w:r>
              <w:rPr>
                <w:rFonts w:ascii="Arial" w:hAnsi="Arial" w:cs="Arial"/>
                <w:sz w:val="20"/>
              </w:rPr>
              <w:t>18 cm H2O</w:t>
            </w:r>
          </w:p>
        </w:tc>
        <w:tc>
          <w:tcPr>
            <w:tcW w:w="4605" w:type="dxa"/>
          </w:tcPr>
          <w:p w:rsidR="008544DA" w:rsidRDefault="008544DA" w:rsidP="00096DFF">
            <w:pPr>
              <w:jc w:val="center"/>
              <w:rPr>
                <w:rFonts w:ascii="Arial" w:hAnsi="Arial" w:cs="Arial"/>
                <w:sz w:val="20"/>
              </w:rPr>
            </w:pPr>
            <w:r>
              <w:rPr>
                <w:rFonts w:ascii="Arial" w:hAnsi="Arial" w:cs="Arial"/>
                <w:sz w:val="20"/>
              </w:rPr>
              <w:t>1 litre</w:t>
            </w:r>
          </w:p>
        </w:tc>
      </w:tr>
    </w:tbl>
    <w:p w:rsidR="008544DA" w:rsidRDefault="008544DA" w:rsidP="008544DA">
      <w:pPr>
        <w:pStyle w:val="Titre5"/>
        <w:rPr>
          <w:rFonts w:cs="Arial"/>
          <w:b/>
          <w:bCs/>
          <w:caps/>
          <w:sz w:val="24"/>
          <w:u w:val="single"/>
        </w:rPr>
      </w:pPr>
      <w:r>
        <w:rPr>
          <w:rFonts w:cs="Arial"/>
          <w:b/>
          <w:bCs/>
          <w:caps/>
          <w:sz w:val="24"/>
          <w:u w:val="single"/>
        </w:rPr>
        <w:t>FREQUENCE</w:t>
      </w:r>
    </w:p>
    <w:p w:rsidR="008544DA" w:rsidRDefault="008544DA" w:rsidP="008544DA">
      <w:pPr>
        <w:pStyle w:val="Titre5"/>
        <w:numPr>
          <w:ilvl w:val="0"/>
          <w:numId w:val="1"/>
        </w:numPr>
        <w:spacing w:before="120" w:after="0"/>
        <w:rPr>
          <w:rFonts w:cs="Arial"/>
          <w:bCs/>
          <w:sz w:val="20"/>
        </w:rPr>
      </w:pPr>
      <w:r>
        <w:rPr>
          <w:rFonts w:cs="Arial"/>
          <w:bCs/>
          <w:sz w:val="20"/>
        </w:rPr>
        <w:t>Selon prescription médicale.</w:t>
      </w:r>
    </w:p>
    <w:p w:rsidR="008544DA" w:rsidRDefault="008544DA" w:rsidP="008544DA">
      <w:pPr>
        <w:pStyle w:val="Titre5"/>
        <w:rPr>
          <w:rFonts w:cs="Arial"/>
          <w:b/>
          <w:bCs/>
          <w:caps/>
          <w:sz w:val="24"/>
          <w:u w:val="single"/>
        </w:rPr>
      </w:pPr>
      <w:r>
        <w:rPr>
          <w:rFonts w:cs="Arial"/>
          <w:b/>
          <w:bCs/>
          <w:caps/>
          <w:sz w:val="24"/>
          <w:u w:val="single"/>
        </w:rPr>
        <w:t>remarque</w:t>
      </w:r>
    </w:p>
    <w:p w:rsidR="008544DA" w:rsidRDefault="008544DA" w:rsidP="008544DA">
      <w:pPr>
        <w:pStyle w:val="Titre5"/>
        <w:numPr>
          <w:ilvl w:val="0"/>
          <w:numId w:val="1"/>
        </w:numPr>
        <w:spacing w:before="0" w:after="0"/>
        <w:rPr>
          <w:sz w:val="20"/>
        </w:rPr>
      </w:pPr>
      <w:r>
        <w:rPr>
          <w:sz w:val="20"/>
        </w:rPr>
        <w:t>Le test se faisant dans le cadre d’un échange, se référer au protocole habituel concernant</w:t>
      </w:r>
      <w:r>
        <w:rPr>
          <w:rFonts w:cs="Arial"/>
          <w:sz w:val="20"/>
        </w:rPr>
        <w:t xml:space="preserve"> le matériel de soins, de protection, de désinfection et d’évacuation des déchets, ainsi que pour la technique</w:t>
      </w:r>
      <w:r>
        <w:rPr>
          <w:sz w:val="20"/>
        </w:rPr>
        <w:t>.</w:t>
      </w:r>
    </w:p>
    <w:p w:rsidR="008544DA" w:rsidRDefault="008544DA" w:rsidP="008544DA">
      <w:pPr>
        <w:pStyle w:val="Titre5"/>
        <w:numPr>
          <w:ilvl w:val="0"/>
          <w:numId w:val="1"/>
        </w:numPr>
        <w:spacing w:before="0" w:after="0"/>
        <w:rPr>
          <w:rFonts w:cs="Arial"/>
          <w:iCs/>
          <w:sz w:val="20"/>
        </w:rPr>
      </w:pPr>
      <w:r>
        <w:rPr>
          <w:rFonts w:cs="Arial"/>
          <w:iCs/>
          <w:sz w:val="20"/>
        </w:rPr>
        <w:t xml:space="preserve">1 heure avant de procéder à l’échange et après avoir vérifié l’intégrité de la poche, la limpidité du liquide de dialyse et la date de péremption, faire chauffer le liquide de dialyse (dans son emballage d’origine et tubulures placées sur le dessus) sur la plaque chauffante jusqu’à ce que le voyant lumineux s’arrête de clignoter (environ 1 heure).  </w:t>
      </w:r>
    </w:p>
    <w:p w:rsidR="008544DA" w:rsidRDefault="008544DA" w:rsidP="008544DA">
      <w:pPr>
        <w:pStyle w:val="Titre5"/>
        <w:rPr>
          <w:rFonts w:cs="Arial"/>
          <w:b/>
          <w:bCs/>
          <w:caps/>
          <w:sz w:val="24"/>
          <w:u w:val="single"/>
        </w:rPr>
      </w:pPr>
      <w:r>
        <w:rPr>
          <w:rFonts w:cs="Arial"/>
          <w:b/>
          <w:bCs/>
          <w:caps/>
          <w:sz w:val="24"/>
          <w:u w:val="single"/>
        </w:rPr>
        <w:t>Matériel</w:t>
      </w:r>
    </w:p>
    <w:p w:rsidR="008544DA" w:rsidRDefault="008544DA" w:rsidP="008544DA">
      <w:pPr>
        <w:spacing w:line="280" w:lineRule="atLeast"/>
        <w:rPr>
          <w:rFonts w:ascii="Arial" w:hAnsi="Arial" w:cs="Arial"/>
          <w:sz w:val="20"/>
        </w:rPr>
      </w:pPr>
      <w:r>
        <w:rPr>
          <w:rFonts w:ascii="Arial" w:hAnsi="Arial" w:cs="Arial"/>
          <w:color w:val="000000"/>
          <w:sz w:val="20"/>
        </w:rPr>
        <w:t>1 réglette graduée en centimètres du type de celles utilisées pour les mesures de pression veineuse centrale.</w:t>
      </w:r>
    </w:p>
    <w:p w:rsidR="008544DA" w:rsidRDefault="008544DA" w:rsidP="008544DA">
      <w:pPr>
        <w:pStyle w:val="Titre5"/>
        <w:rPr>
          <w:rFonts w:cs="Arial"/>
          <w:b/>
          <w:iCs/>
          <w:caps/>
          <w:sz w:val="24"/>
          <w:u w:val="single"/>
        </w:rPr>
      </w:pPr>
      <w:r>
        <w:rPr>
          <w:rFonts w:cs="Arial"/>
          <w:b/>
          <w:iCs/>
          <w:caps/>
          <w:sz w:val="24"/>
          <w:u w:val="single"/>
        </w:rPr>
        <w:br w:type="page"/>
      </w:r>
      <w:r>
        <w:rPr>
          <w:rFonts w:cs="Arial"/>
          <w:b/>
          <w:iCs/>
          <w:caps/>
          <w:sz w:val="24"/>
          <w:u w:val="single"/>
        </w:rPr>
        <w:lastRenderedPageBreak/>
        <w:t xml:space="preserve">Technique </w:t>
      </w:r>
    </w:p>
    <w:p w:rsidR="008544DA" w:rsidRDefault="008544DA" w:rsidP="008544DA">
      <w:pPr>
        <w:rPr>
          <w:rFonts w:ascii="Arial" w:hAnsi="Arial" w:cs="Arial"/>
          <w:b/>
          <w:i/>
          <w:iCs/>
        </w:rPr>
      </w:pPr>
      <w:r>
        <w:rPr>
          <w:rFonts w:ascii="Arial" w:hAnsi="Arial" w:cs="Arial"/>
          <w:b/>
          <w:i/>
          <w:iCs/>
        </w:rPr>
        <w:t>Préparation du système bi-</w:t>
      </w:r>
      <w:proofErr w:type="spellStart"/>
      <w:r>
        <w:rPr>
          <w:rFonts w:ascii="Arial" w:hAnsi="Arial" w:cs="Arial"/>
          <w:b/>
          <w:i/>
          <w:iCs/>
        </w:rPr>
        <w:t>compartimental</w:t>
      </w:r>
      <w:proofErr w:type="spellEnd"/>
    </w:p>
    <w:p w:rsidR="008544DA" w:rsidRDefault="008544DA" w:rsidP="008544DA">
      <w:pPr>
        <w:numPr>
          <w:ilvl w:val="0"/>
          <w:numId w:val="2"/>
        </w:numPr>
        <w:spacing w:before="60" w:after="0" w:line="240" w:lineRule="auto"/>
        <w:jc w:val="both"/>
        <w:rPr>
          <w:rFonts w:ascii="Arial" w:hAnsi="Arial" w:cs="Arial"/>
          <w:bCs/>
          <w:sz w:val="20"/>
        </w:rPr>
      </w:pPr>
      <w:r>
        <w:rPr>
          <w:rFonts w:ascii="Arial" w:hAnsi="Arial" w:cs="Arial"/>
          <w:bCs/>
          <w:sz w:val="20"/>
        </w:rPr>
        <w:t>Procéder selon le protocole habituel.</w:t>
      </w:r>
    </w:p>
    <w:p w:rsidR="008544DA" w:rsidRDefault="008544DA" w:rsidP="008544DA">
      <w:pPr>
        <w:spacing w:before="120"/>
        <w:jc w:val="both"/>
        <w:rPr>
          <w:rFonts w:ascii="Arial" w:hAnsi="Arial" w:cs="Arial"/>
          <w:b/>
          <w:bCs/>
          <w:i/>
          <w:iCs/>
        </w:rPr>
      </w:pPr>
      <w:r>
        <w:rPr>
          <w:rFonts w:ascii="Arial" w:hAnsi="Arial" w:cs="Arial"/>
          <w:b/>
          <w:bCs/>
          <w:i/>
          <w:iCs/>
        </w:rPr>
        <w:t>Connexion du système double-poche au prolongateur de cathéter</w:t>
      </w:r>
    </w:p>
    <w:p w:rsidR="008544DA" w:rsidRDefault="008544DA" w:rsidP="008544DA">
      <w:pPr>
        <w:numPr>
          <w:ilvl w:val="0"/>
          <w:numId w:val="2"/>
        </w:numPr>
        <w:spacing w:before="60" w:after="0" w:line="240" w:lineRule="auto"/>
        <w:jc w:val="both"/>
        <w:rPr>
          <w:rFonts w:ascii="Arial" w:hAnsi="Arial" w:cs="Arial"/>
          <w:bCs/>
          <w:color w:val="000000"/>
          <w:sz w:val="20"/>
        </w:rPr>
      </w:pPr>
      <w:r>
        <w:rPr>
          <w:rFonts w:ascii="Arial" w:hAnsi="Arial" w:cs="Arial"/>
          <w:bCs/>
          <w:color w:val="000000"/>
          <w:sz w:val="20"/>
        </w:rPr>
        <w:t>Procéder selon le protocole habituel en veillant à clamper les lignes de drainage et d’infusion.</w:t>
      </w:r>
    </w:p>
    <w:p w:rsidR="008544DA" w:rsidRDefault="008544DA" w:rsidP="008544DA">
      <w:pPr>
        <w:spacing w:before="120"/>
        <w:jc w:val="both"/>
        <w:rPr>
          <w:rFonts w:ascii="Arial" w:hAnsi="Arial" w:cs="Arial"/>
          <w:b/>
          <w:bCs/>
          <w:i/>
          <w:iCs/>
        </w:rPr>
      </w:pPr>
      <w:r>
        <w:rPr>
          <w:rFonts w:ascii="Arial" w:hAnsi="Arial" w:cs="Arial"/>
          <w:b/>
          <w:bCs/>
          <w:i/>
          <w:iCs/>
        </w:rPr>
        <w:t xml:space="preserve">Mesure de la pression hydrostatique </w:t>
      </w:r>
      <w:proofErr w:type="spellStart"/>
      <w:r>
        <w:rPr>
          <w:rFonts w:ascii="Arial" w:hAnsi="Arial" w:cs="Arial"/>
          <w:b/>
          <w:bCs/>
          <w:i/>
          <w:iCs/>
        </w:rPr>
        <w:t>intrapéritonéale</w:t>
      </w:r>
      <w:proofErr w:type="spellEnd"/>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L’examen commence chez un patient en décubitus dorsal strict sans oreiller. La cavité péritonéale est pleine ; le volume et la nature du dialysat sont indifférents.</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Adapter la réglette graduée sur le statif.</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Le niveau zéro de la réglette est fixé au niveau de la ligne axillaire moyenne du patient (ligne passant par le sommet du creux axillaire). Pour ce réglage, l’utilisation d’un niveau à bulles est souhaitable.</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Accrocher la poche vide de drainage en haut du statif.</w:t>
      </w:r>
    </w:p>
    <w:p w:rsidR="008544DA" w:rsidRDefault="008544DA" w:rsidP="008544DA">
      <w:pPr>
        <w:numPr>
          <w:ilvl w:val="0"/>
          <w:numId w:val="3"/>
        </w:numPr>
        <w:spacing w:before="60" w:after="0" w:line="240" w:lineRule="auto"/>
        <w:jc w:val="both"/>
        <w:rPr>
          <w:rFonts w:ascii="Arial" w:hAnsi="Arial" w:cs="Arial"/>
          <w:sz w:val="20"/>
        </w:rPr>
      </w:pPr>
      <w:proofErr w:type="spellStart"/>
      <w:r>
        <w:rPr>
          <w:rFonts w:ascii="Arial" w:hAnsi="Arial" w:cs="Arial"/>
          <w:sz w:val="20"/>
        </w:rPr>
        <w:t>Déclamper</w:t>
      </w:r>
      <w:proofErr w:type="spellEnd"/>
      <w:r>
        <w:rPr>
          <w:rFonts w:ascii="Arial" w:hAnsi="Arial" w:cs="Arial"/>
          <w:sz w:val="20"/>
        </w:rPr>
        <w:t xml:space="preserve"> la ligne de drainage. S’assurer que le niveau de dialysat fluctue librement selon les mouvements respiratoires.</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Demander au patient de se détendre et de respirer normalement.</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Prendre 2 valeurs de pression : la valeur maximale correspondant à l’inspiration et la valeur minimale correspondant à l’expiration. La valeur de pression à retenir est la moyenne de ces 2 valeurs. Noter les 2 mesures effectuées.</w:t>
      </w:r>
    </w:p>
    <w:p w:rsidR="008544DA" w:rsidRDefault="008544DA" w:rsidP="008544DA">
      <w:pPr>
        <w:numPr>
          <w:ilvl w:val="0"/>
          <w:numId w:val="3"/>
        </w:numPr>
        <w:spacing w:before="60" w:after="0" w:line="240" w:lineRule="auto"/>
        <w:jc w:val="both"/>
        <w:rPr>
          <w:rFonts w:ascii="Arial" w:hAnsi="Arial" w:cs="Arial"/>
          <w:sz w:val="20"/>
        </w:rPr>
      </w:pPr>
      <w:r>
        <w:rPr>
          <w:rFonts w:ascii="Arial" w:hAnsi="Arial" w:cs="Arial"/>
          <w:sz w:val="20"/>
        </w:rPr>
        <w:t>Mettre la poche de drainage en déclive pour que le drainage se poursuive normalement.</w:t>
      </w:r>
    </w:p>
    <w:p w:rsidR="008544DA" w:rsidRDefault="008544DA" w:rsidP="008544DA">
      <w:pPr>
        <w:spacing w:before="120"/>
        <w:jc w:val="both"/>
        <w:rPr>
          <w:rFonts w:ascii="Arial" w:hAnsi="Arial" w:cs="Arial"/>
          <w:i/>
          <w:iCs/>
        </w:rPr>
      </w:pPr>
      <w:r>
        <w:rPr>
          <w:rFonts w:ascii="Arial" w:hAnsi="Arial" w:cs="Arial"/>
          <w:b/>
          <w:bCs/>
          <w:i/>
          <w:iCs/>
        </w:rPr>
        <w:t xml:space="preserve">Drainage du dialysat </w:t>
      </w:r>
      <w:r>
        <w:rPr>
          <w:rFonts w:ascii="Arial" w:hAnsi="Arial" w:cs="Arial"/>
          <w:i/>
          <w:iCs/>
        </w:rPr>
        <w:t>(+/- 20mn)</w:t>
      </w:r>
    </w:p>
    <w:p w:rsidR="008544DA" w:rsidRDefault="008544DA" w:rsidP="008544DA">
      <w:pPr>
        <w:numPr>
          <w:ilvl w:val="0"/>
          <w:numId w:val="4"/>
        </w:numPr>
        <w:spacing w:before="60" w:after="0" w:line="240" w:lineRule="auto"/>
        <w:jc w:val="both"/>
        <w:rPr>
          <w:rFonts w:ascii="Arial" w:hAnsi="Arial" w:cs="Arial"/>
          <w:sz w:val="20"/>
        </w:rPr>
      </w:pPr>
      <w:r>
        <w:rPr>
          <w:rFonts w:ascii="Arial" w:hAnsi="Arial" w:cs="Arial"/>
          <w:sz w:val="20"/>
        </w:rPr>
        <w:t>Procéder au drainage du dialysat selon le protocole habituel et une fois le drainage terminé, noter le volume drainé.</w:t>
      </w:r>
    </w:p>
    <w:p w:rsidR="008544DA" w:rsidRDefault="008544DA" w:rsidP="008544DA">
      <w:pPr>
        <w:spacing w:before="120"/>
        <w:jc w:val="both"/>
        <w:rPr>
          <w:rFonts w:ascii="Arial" w:hAnsi="Arial" w:cs="Arial"/>
          <w:b/>
          <w:bCs/>
          <w:i/>
          <w:iCs/>
        </w:rPr>
      </w:pPr>
      <w:r>
        <w:rPr>
          <w:rFonts w:ascii="Arial" w:hAnsi="Arial" w:cs="Arial"/>
          <w:b/>
          <w:bCs/>
          <w:i/>
          <w:iCs/>
        </w:rPr>
        <w:t>Rinçage de la ligne d’infusion</w:t>
      </w:r>
    </w:p>
    <w:p w:rsidR="008544DA" w:rsidRDefault="008544DA" w:rsidP="008544DA">
      <w:pPr>
        <w:numPr>
          <w:ilvl w:val="0"/>
          <w:numId w:val="2"/>
        </w:numPr>
        <w:spacing w:before="60" w:after="0" w:line="240" w:lineRule="auto"/>
        <w:jc w:val="both"/>
        <w:rPr>
          <w:rFonts w:ascii="Arial" w:hAnsi="Arial" w:cs="Arial"/>
          <w:bCs/>
          <w:sz w:val="20"/>
        </w:rPr>
      </w:pPr>
      <w:r>
        <w:rPr>
          <w:rFonts w:ascii="Arial" w:hAnsi="Arial" w:cs="Arial"/>
          <w:bCs/>
          <w:sz w:val="20"/>
        </w:rPr>
        <w:t>Procéder selon le protocole habituel.</w:t>
      </w:r>
    </w:p>
    <w:p w:rsidR="008544DA" w:rsidRDefault="008544DA" w:rsidP="008544DA">
      <w:pPr>
        <w:spacing w:before="120"/>
        <w:jc w:val="both"/>
        <w:rPr>
          <w:rFonts w:ascii="Arial" w:hAnsi="Arial" w:cs="Arial"/>
          <w:b/>
          <w:bCs/>
          <w:i/>
          <w:iCs/>
        </w:rPr>
      </w:pPr>
      <w:r>
        <w:rPr>
          <w:rFonts w:ascii="Arial" w:hAnsi="Arial" w:cs="Arial"/>
          <w:b/>
          <w:bCs/>
          <w:i/>
          <w:iCs/>
        </w:rPr>
        <w:t xml:space="preserve">Infusion du liquide de dialyse </w:t>
      </w:r>
      <w:r>
        <w:rPr>
          <w:rFonts w:ascii="Arial" w:hAnsi="Arial" w:cs="Arial"/>
          <w:i/>
          <w:iCs/>
        </w:rPr>
        <w:t>(+/-10mn)</w:t>
      </w:r>
    </w:p>
    <w:p w:rsidR="008544DA" w:rsidRDefault="008544DA" w:rsidP="008544DA">
      <w:pPr>
        <w:numPr>
          <w:ilvl w:val="0"/>
          <w:numId w:val="2"/>
        </w:numPr>
        <w:spacing w:before="60" w:after="0" w:line="240" w:lineRule="auto"/>
        <w:jc w:val="both"/>
        <w:rPr>
          <w:rFonts w:ascii="Arial" w:hAnsi="Arial" w:cs="Arial"/>
          <w:bCs/>
          <w:sz w:val="20"/>
        </w:rPr>
      </w:pPr>
      <w:r>
        <w:rPr>
          <w:rFonts w:ascii="Arial" w:hAnsi="Arial" w:cs="Arial"/>
          <w:bCs/>
          <w:sz w:val="20"/>
        </w:rPr>
        <w:t>Procéder selon le protocole habituel.</w:t>
      </w:r>
    </w:p>
    <w:p w:rsidR="008544DA" w:rsidRDefault="008544DA" w:rsidP="008544DA">
      <w:pPr>
        <w:spacing w:before="120"/>
        <w:jc w:val="both"/>
        <w:rPr>
          <w:rFonts w:ascii="Arial" w:hAnsi="Arial" w:cs="Arial"/>
          <w:b/>
          <w:bCs/>
          <w:i/>
          <w:iCs/>
        </w:rPr>
      </w:pPr>
      <w:r>
        <w:rPr>
          <w:rFonts w:ascii="Arial" w:hAnsi="Arial" w:cs="Arial"/>
          <w:b/>
          <w:bCs/>
          <w:i/>
          <w:iCs/>
        </w:rPr>
        <w:t>Déconnexion du système double-poche du prolongateur de cathéter</w:t>
      </w:r>
    </w:p>
    <w:p w:rsidR="008544DA" w:rsidRDefault="008544DA" w:rsidP="008544DA">
      <w:pPr>
        <w:numPr>
          <w:ilvl w:val="0"/>
          <w:numId w:val="2"/>
        </w:numPr>
        <w:spacing w:before="60" w:after="0" w:line="240" w:lineRule="auto"/>
        <w:jc w:val="both"/>
        <w:rPr>
          <w:rFonts w:ascii="Arial" w:hAnsi="Arial" w:cs="Arial"/>
          <w:bCs/>
          <w:sz w:val="20"/>
        </w:rPr>
      </w:pPr>
      <w:r>
        <w:rPr>
          <w:rFonts w:ascii="Arial" w:hAnsi="Arial" w:cs="Arial"/>
          <w:bCs/>
          <w:sz w:val="20"/>
        </w:rPr>
        <w:t>Procéder selon le protocole habituel.</w:t>
      </w:r>
    </w:p>
    <w:p w:rsidR="008544DA" w:rsidRDefault="008544DA" w:rsidP="008544DA">
      <w:pPr>
        <w:spacing w:before="120"/>
        <w:jc w:val="both"/>
        <w:rPr>
          <w:rFonts w:ascii="Arial" w:hAnsi="Arial" w:cs="Arial"/>
          <w:b/>
          <w:bCs/>
          <w:i/>
          <w:iCs/>
        </w:rPr>
      </w:pPr>
      <w:r>
        <w:rPr>
          <w:rFonts w:ascii="Arial" w:hAnsi="Arial" w:cs="Arial"/>
          <w:b/>
          <w:bCs/>
          <w:i/>
          <w:iCs/>
        </w:rPr>
        <w:t>Elimination du dialysat</w:t>
      </w:r>
    </w:p>
    <w:p w:rsidR="008544DA" w:rsidRDefault="008544DA" w:rsidP="008544DA">
      <w:pPr>
        <w:numPr>
          <w:ilvl w:val="0"/>
          <w:numId w:val="5"/>
        </w:numPr>
        <w:spacing w:after="0" w:line="280" w:lineRule="atLeast"/>
        <w:rPr>
          <w:rFonts w:ascii="Arial" w:hAnsi="Arial" w:cs="Arial"/>
          <w:sz w:val="20"/>
        </w:rPr>
      </w:pPr>
      <w:r>
        <w:rPr>
          <w:rFonts w:ascii="Arial" w:hAnsi="Arial" w:cs="Arial"/>
          <w:bCs/>
          <w:sz w:val="20"/>
        </w:rPr>
        <w:t>Procéder selon le protocole habituel.</w:t>
      </w:r>
    </w:p>
    <w:p w:rsidR="008B735F" w:rsidRDefault="008B735F" w:rsidP="005E5EEA">
      <w:pPr>
        <w:spacing w:after="0" w:line="240" w:lineRule="auto"/>
        <w:rPr>
          <w:rFonts w:ascii="Arial" w:hAnsi="Arial" w:cs="Arial"/>
        </w:rPr>
      </w:pPr>
    </w:p>
    <w:p w:rsidR="008B735F" w:rsidRDefault="008B735F" w:rsidP="005E5EEA">
      <w:pPr>
        <w:spacing w:after="0" w:line="240" w:lineRule="auto"/>
        <w:rPr>
          <w:rFonts w:ascii="Arial" w:hAnsi="Arial" w:cs="Arial"/>
        </w:rPr>
      </w:pPr>
    </w:p>
    <w:sectPr w:rsidR="008B735F" w:rsidSect="00C343D6">
      <w:headerReference w:type="even" r:id="rId8"/>
      <w:headerReference w:type="default" r:id="rId9"/>
      <w:footerReference w:type="even" r:id="rId10"/>
      <w:footerReference w:type="default" r:id="rId11"/>
      <w:headerReference w:type="first" r:id="rId12"/>
      <w:footerReference w:type="first" r:id="rId13"/>
      <w:pgSz w:w="11906" w:h="16838" w:code="9"/>
      <w:pgMar w:top="820" w:right="707" w:bottom="993" w:left="851" w:header="568" w:footer="3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FE4" w:rsidRDefault="003E5FE4" w:rsidP="005E5EEA">
      <w:pPr>
        <w:spacing w:after="0" w:line="240" w:lineRule="auto"/>
      </w:pPr>
      <w:r>
        <w:separator/>
      </w:r>
    </w:p>
  </w:endnote>
  <w:endnote w:type="continuationSeparator" w:id="0">
    <w:p w:rsidR="003E5FE4" w:rsidRDefault="003E5FE4" w:rsidP="005E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5F" w:rsidRDefault="008B735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01" w:rsidRPr="00A45101" w:rsidRDefault="00646F37" w:rsidP="00074541">
    <w:pPr>
      <w:pStyle w:val="Pieddepage"/>
      <w:tabs>
        <w:tab w:val="clear" w:pos="4536"/>
        <w:tab w:val="clear" w:pos="9072"/>
        <w:tab w:val="center" w:pos="5103"/>
        <w:tab w:val="right" w:pos="10260"/>
      </w:tabs>
      <w:spacing w:before="40"/>
      <w:rPr>
        <w:rFonts w:ascii="Arial" w:hAnsi="Arial" w:cs="Arial"/>
        <w:sz w:val="8"/>
        <w:szCs w:val="8"/>
      </w:rPr>
    </w:pPr>
    <w:r>
      <w:rPr>
        <w:rFonts w:ascii="Arial" w:hAnsi="Arial" w:cs="Arial"/>
        <w:noProof/>
        <w:sz w:val="16"/>
        <w:szCs w:val="16"/>
      </w:rPr>
      <w:drawing>
        <wp:anchor distT="0" distB="0" distL="114300" distR="114300" simplePos="0" relativeHeight="251658240" behindDoc="0" locked="1" layoutInCell="0" allowOverlap="0">
          <wp:simplePos x="0" y="0"/>
          <wp:positionH relativeFrom="page">
            <wp:posOffset>257175</wp:posOffset>
          </wp:positionH>
          <wp:positionV relativeFrom="page">
            <wp:posOffset>9603740</wp:posOffset>
          </wp:positionV>
          <wp:extent cx="170815" cy="539115"/>
          <wp:effectExtent l="19050" t="0" r="635" b="0"/>
          <wp:wrapNone/>
          <wp:docPr id="21" name="Image 21" descr="Vaud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ud_noir"/>
                  <pic:cNvPicPr>
                    <a:picLocks noChangeAspect="1" noChangeArrowheads="1"/>
                  </pic:cNvPicPr>
                </pic:nvPicPr>
                <pic:blipFill>
                  <a:blip r:embed="rId1"/>
                  <a:srcRect/>
                  <a:stretch>
                    <a:fillRect/>
                  </a:stretch>
                </pic:blipFill>
                <pic:spPr bwMode="auto">
                  <a:xfrm>
                    <a:off x="0" y="0"/>
                    <a:ext cx="170815" cy="539115"/>
                  </a:xfrm>
                  <a:prstGeom prst="rect">
                    <a:avLst/>
                  </a:prstGeom>
                  <a:noFill/>
                </pic:spPr>
              </pic:pic>
            </a:graphicData>
          </a:graphic>
        </wp:anchor>
      </w:drawing>
    </w:r>
    <w:r w:rsidR="00C1548D">
      <w:rPr>
        <w:rFonts w:ascii="Arial" w:hAnsi="Arial" w:cs="Arial"/>
        <w:sz w:val="16"/>
        <w:szCs w:val="16"/>
        <w:effect w:val="antsRed"/>
      </w:rPr>
      <w:t>03.05.2016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D6" w:rsidRPr="001D3F17" w:rsidRDefault="00483F39" w:rsidP="008B6332">
    <w:pPr>
      <w:pStyle w:val="Pieddepage"/>
      <w:pBdr>
        <w:top w:val="single" w:sz="4" w:space="1" w:color="auto"/>
      </w:pBdr>
      <w:tabs>
        <w:tab w:val="clear" w:pos="4536"/>
        <w:tab w:val="clear" w:pos="9072"/>
        <w:tab w:val="center" w:pos="5103"/>
        <w:tab w:val="right" w:pos="10260"/>
      </w:tabs>
      <w:ind w:left="567"/>
      <w:rPr>
        <w:rFonts w:ascii="Arial" w:hAnsi="Arial" w:cs="Arial"/>
        <w:sz w:val="16"/>
      </w:rPr>
    </w:pPr>
    <w:bookmarkStart w:id="0" w:name="VDOCS21_5"/>
    <w:r w:rsidRPr="00483F39">
      <w:rPr>
        <w:rFonts w:ascii="Arial" w:hAnsi="Arial" w:cs="Arial"/>
        <w:sz w:val="16"/>
        <w:effect w:val="antsRed"/>
      </w:rPr>
      <w:t>HPCI_W_FT_00197</w:t>
    </w:r>
    <w:bookmarkEnd w:id="0"/>
    <w:r w:rsidR="009E25AC">
      <w:rPr>
        <w:rFonts w:ascii="Arial" w:hAnsi="Arial" w:cs="Arial"/>
        <w:sz w:val="16"/>
      </w:rPr>
      <w:t xml:space="preserve">  </w:t>
    </w:r>
    <w:r w:rsidR="008523D6" w:rsidRPr="001D3F17">
      <w:rPr>
        <w:rFonts w:ascii="Arial" w:hAnsi="Arial" w:cs="Arial"/>
        <w:sz w:val="16"/>
      </w:rPr>
      <w:tab/>
      <w:t xml:space="preserve">V. </w:t>
    </w:r>
    <w:bookmarkStart w:id="1" w:name="VDOCS12_15"/>
    <w:r w:rsidRPr="00483F39">
      <w:rPr>
        <w:rFonts w:ascii="Arial" w:hAnsi="Arial" w:cs="Arial"/>
        <w:sz w:val="16"/>
        <w:effect w:val="antsRed"/>
      </w:rPr>
      <w:t>1.1</w:t>
    </w:r>
    <w:bookmarkEnd w:id="1"/>
    <w:r w:rsidR="008523D6" w:rsidRPr="001D3F17">
      <w:rPr>
        <w:rFonts w:ascii="Arial" w:hAnsi="Arial" w:cs="Arial"/>
        <w:sz w:val="16"/>
      </w:rPr>
      <w:t xml:space="preserve"> du </w:t>
    </w:r>
    <w:bookmarkStart w:id="2" w:name="VDOCS15_18"/>
    <w:r w:rsidRPr="00483F39">
      <w:rPr>
        <w:rFonts w:ascii="Arial" w:hAnsi="Arial" w:cs="Arial"/>
        <w:sz w:val="16"/>
        <w:effect w:val="antsRed"/>
      </w:rPr>
      <w:t>03/05/2016</w:t>
    </w:r>
    <w:bookmarkEnd w:id="2"/>
    <w:r w:rsidR="008523D6" w:rsidRPr="001D3F17">
      <w:rPr>
        <w:rFonts w:ascii="Arial" w:hAnsi="Arial" w:cs="Arial"/>
        <w:sz w:val="16"/>
      </w:rPr>
      <w:tab/>
      <w:t xml:space="preserve">Page </w:t>
    </w:r>
    <w:r w:rsidR="00D60760" w:rsidRPr="001D3F17">
      <w:rPr>
        <w:rFonts w:ascii="Arial" w:hAnsi="Arial" w:cs="Arial"/>
        <w:sz w:val="16"/>
      </w:rPr>
      <w:fldChar w:fldCharType="begin"/>
    </w:r>
    <w:r w:rsidR="008523D6" w:rsidRPr="001D3F17">
      <w:rPr>
        <w:rFonts w:ascii="Arial" w:hAnsi="Arial" w:cs="Arial"/>
        <w:sz w:val="16"/>
      </w:rPr>
      <w:instrText xml:space="preserve"> PAGE </w:instrText>
    </w:r>
    <w:r w:rsidR="00D60760" w:rsidRPr="001D3F17">
      <w:rPr>
        <w:rFonts w:ascii="Arial" w:hAnsi="Arial" w:cs="Arial"/>
        <w:sz w:val="16"/>
      </w:rPr>
      <w:fldChar w:fldCharType="separate"/>
    </w:r>
    <w:r w:rsidR="00C1548D">
      <w:rPr>
        <w:rFonts w:ascii="Arial" w:hAnsi="Arial" w:cs="Arial"/>
        <w:noProof/>
        <w:sz w:val="16"/>
      </w:rPr>
      <w:t>1</w:t>
    </w:r>
    <w:r w:rsidR="00D60760" w:rsidRPr="001D3F17">
      <w:rPr>
        <w:rFonts w:ascii="Arial" w:hAnsi="Arial" w:cs="Arial"/>
        <w:sz w:val="16"/>
      </w:rPr>
      <w:fldChar w:fldCharType="end"/>
    </w:r>
    <w:r w:rsidR="008523D6" w:rsidRPr="001D3F17">
      <w:rPr>
        <w:rFonts w:ascii="Arial" w:hAnsi="Arial" w:cs="Arial"/>
        <w:sz w:val="16"/>
      </w:rPr>
      <w:t xml:space="preserve"> / </w:t>
    </w:r>
    <w:r w:rsidR="00D60760" w:rsidRPr="001D3F17">
      <w:rPr>
        <w:rFonts w:ascii="Arial" w:hAnsi="Arial" w:cs="Arial"/>
        <w:sz w:val="16"/>
      </w:rPr>
      <w:fldChar w:fldCharType="begin"/>
    </w:r>
    <w:r w:rsidR="008523D6" w:rsidRPr="001D3F17">
      <w:rPr>
        <w:rFonts w:ascii="Arial" w:hAnsi="Arial" w:cs="Arial"/>
        <w:sz w:val="16"/>
      </w:rPr>
      <w:instrText xml:space="preserve"> NUMPAGES </w:instrText>
    </w:r>
    <w:r w:rsidR="00D60760" w:rsidRPr="001D3F17">
      <w:rPr>
        <w:rFonts w:ascii="Arial" w:hAnsi="Arial" w:cs="Arial"/>
        <w:sz w:val="16"/>
      </w:rPr>
      <w:fldChar w:fldCharType="separate"/>
    </w:r>
    <w:r w:rsidR="00C1548D">
      <w:rPr>
        <w:rFonts w:ascii="Arial" w:hAnsi="Arial" w:cs="Arial"/>
        <w:noProof/>
        <w:sz w:val="16"/>
      </w:rPr>
      <w:t>2</w:t>
    </w:r>
    <w:r w:rsidR="00D60760" w:rsidRPr="001D3F17">
      <w:rPr>
        <w:rFonts w:ascii="Arial" w:hAnsi="Arial" w:cs="Arial"/>
        <w:sz w:val="16"/>
      </w:rPr>
      <w:fldChar w:fldCharType="end"/>
    </w:r>
  </w:p>
  <w:p w:rsidR="008523D6" w:rsidRPr="001D3F17" w:rsidRDefault="00646F37" w:rsidP="008B6332">
    <w:pPr>
      <w:pStyle w:val="Pieddepage"/>
      <w:rPr>
        <w:rFonts w:ascii="Arial" w:hAnsi="Arial" w:cs="Arial"/>
      </w:rPr>
    </w:pPr>
    <w:r>
      <w:rPr>
        <w:rFonts w:ascii="Arial" w:hAnsi="Arial" w:cs="Arial"/>
        <w:noProof/>
      </w:rPr>
      <w:drawing>
        <wp:anchor distT="0" distB="0" distL="114300" distR="114300" simplePos="0" relativeHeight="251657216" behindDoc="0" locked="1" layoutInCell="0" allowOverlap="0">
          <wp:simplePos x="0" y="0"/>
          <wp:positionH relativeFrom="page">
            <wp:posOffset>484505</wp:posOffset>
          </wp:positionH>
          <wp:positionV relativeFrom="page">
            <wp:posOffset>9803130</wp:posOffset>
          </wp:positionV>
          <wp:extent cx="170815" cy="539115"/>
          <wp:effectExtent l="19050" t="0" r="635" b="0"/>
          <wp:wrapNone/>
          <wp:docPr id="17" name="Image 17" descr="Vaud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ud_noir"/>
                  <pic:cNvPicPr>
                    <a:picLocks noChangeAspect="1" noChangeArrowheads="1"/>
                  </pic:cNvPicPr>
                </pic:nvPicPr>
                <pic:blipFill>
                  <a:blip r:embed="rId1"/>
                  <a:srcRect/>
                  <a:stretch>
                    <a:fillRect/>
                  </a:stretch>
                </pic:blipFill>
                <pic:spPr bwMode="auto">
                  <a:xfrm>
                    <a:off x="0" y="0"/>
                    <a:ext cx="170815" cy="53911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FE4" w:rsidRDefault="003E5FE4" w:rsidP="005E5EEA">
      <w:pPr>
        <w:spacing w:after="0" w:line="240" w:lineRule="auto"/>
      </w:pPr>
      <w:r>
        <w:separator/>
      </w:r>
    </w:p>
  </w:footnote>
  <w:footnote w:type="continuationSeparator" w:id="0">
    <w:p w:rsidR="003E5FE4" w:rsidRDefault="003E5FE4" w:rsidP="005E5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5F" w:rsidRDefault="008B735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5F" w:rsidRDefault="008B735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tblBorders>
      <w:tblLook w:val="04A0"/>
    </w:tblPr>
    <w:tblGrid>
      <w:gridCol w:w="3936"/>
      <w:gridCol w:w="2835"/>
      <w:gridCol w:w="3717"/>
    </w:tblGrid>
    <w:tr w:rsidR="008523D6" w:rsidRPr="00006372" w:rsidTr="00A45101">
      <w:tc>
        <w:tcPr>
          <w:tcW w:w="3936" w:type="dxa"/>
          <w:tcBorders>
            <w:left w:val="nil"/>
            <w:right w:val="single" w:sz="4" w:space="0" w:color="auto"/>
          </w:tcBorders>
        </w:tcPr>
        <w:p w:rsidR="008523D6" w:rsidRPr="00006372" w:rsidRDefault="00646F37" w:rsidP="003E7228">
          <w:pPr>
            <w:pStyle w:val="En-tte"/>
            <w:rPr>
              <w:rFonts w:ascii="Arial" w:hAnsi="Arial" w:cs="Arial"/>
              <w:sz w:val="15"/>
              <w:szCs w:val="15"/>
            </w:rPr>
          </w:pPr>
          <w:r>
            <w:rPr>
              <w:rFonts w:ascii="Arial" w:hAnsi="Arial" w:cs="Arial"/>
              <w:noProof/>
            </w:rPr>
            <w:drawing>
              <wp:inline distT="0" distB="0" distL="0" distR="0">
                <wp:extent cx="2326005" cy="358140"/>
                <wp:effectExtent l="19050" t="0" r="0" b="0"/>
                <wp:docPr id="1" name="Image 1" descr="hpci_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i_400px"/>
                        <pic:cNvPicPr>
                          <a:picLocks noChangeAspect="1" noChangeArrowheads="1"/>
                        </pic:cNvPicPr>
                      </pic:nvPicPr>
                      <pic:blipFill>
                        <a:blip r:embed="rId1"/>
                        <a:srcRect/>
                        <a:stretch>
                          <a:fillRect/>
                        </a:stretch>
                      </pic:blipFill>
                      <pic:spPr bwMode="auto">
                        <a:xfrm>
                          <a:off x="0" y="0"/>
                          <a:ext cx="2326005" cy="358140"/>
                        </a:xfrm>
                        <a:prstGeom prst="rect">
                          <a:avLst/>
                        </a:prstGeom>
                        <a:noFill/>
                        <a:ln w="9525">
                          <a:noFill/>
                          <a:miter lim="800000"/>
                          <a:headEnd/>
                          <a:tailEnd/>
                        </a:ln>
                      </pic:spPr>
                    </pic:pic>
                  </a:graphicData>
                </a:graphic>
              </wp:inline>
            </w:drawing>
          </w:r>
        </w:p>
      </w:tc>
      <w:tc>
        <w:tcPr>
          <w:tcW w:w="2835" w:type="dxa"/>
          <w:tcBorders>
            <w:left w:val="single" w:sz="4" w:space="0" w:color="auto"/>
            <w:right w:val="nil"/>
          </w:tcBorders>
          <w:vAlign w:val="bottom"/>
        </w:tcPr>
        <w:p w:rsidR="008523D6" w:rsidRPr="001D3F17" w:rsidRDefault="008523D6" w:rsidP="001D3F17">
          <w:pPr>
            <w:spacing w:after="0" w:line="240" w:lineRule="auto"/>
            <w:rPr>
              <w:rFonts w:ascii="Arial" w:hAnsi="Arial" w:cs="Arial"/>
              <w:b/>
              <w:sz w:val="15"/>
              <w:szCs w:val="15"/>
            </w:rPr>
          </w:pPr>
        </w:p>
      </w:tc>
      <w:tc>
        <w:tcPr>
          <w:tcW w:w="3717" w:type="dxa"/>
          <w:tcBorders>
            <w:left w:val="nil"/>
          </w:tcBorders>
        </w:tcPr>
        <w:p w:rsidR="008523D6" w:rsidRPr="00006372" w:rsidRDefault="008523D6" w:rsidP="00A45101">
          <w:pPr>
            <w:pStyle w:val="En-tte"/>
            <w:ind w:left="1593"/>
            <w:rPr>
              <w:sz w:val="15"/>
              <w:szCs w:val="15"/>
            </w:rPr>
          </w:pPr>
          <w:r>
            <w:rPr>
              <w:rFonts w:ascii="Arial" w:hAnsi="Arial" w:cs="Arial"/>
              <w:noProof/>
            </w:rPr>
            <w:t xml:space="preserve"> </w:t>
          </w:r>
        </w:p>
      </w:tc>
    </w:tr>
  </w:tbl>
  <w:p w:rsidR="008523D6" w:rsidRPr="005423D0" w:rsidRDefault="008523D6" w:rsidP="00475152">
    <w:pPr>
      <w:pStyle w:val="En-tte"/>
      <w:pBdr>
        <w:bottom w:val="single" w:sz="4" w:space="1"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378"/>
    <w:multiLevelType w:val="hybridMultilevel"/>
    <w:tmpl w:val="F1F631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FAD168B"/>
    <w:multiLevelType w:val="hybridMultilevel"/>
    <w:tmpl w:val="2F7CF4AE"/>
    <w:lvl w:ilvl="0" w:tplc="500C5EBC">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018495E"/>
    <w:multiLevelType w:val="hybridMultilevel"/>
    <w:tmpl w:val="6010B608"/>
    <w:lvl w:ilvl="0" w:tplc="69B82A42">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BB312F7"/>
    <w:multiLevelType w:val="hybridMultilevel"/>
    <w:tmpl w:val="AA5E543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77A6780"/>
    <w:multiLevelType w:val="hybridMultilevel"/>
    <w:tmpl w:val="AA5E54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4098">
      <o:colormenu v:ext="edit" strokecolor="none [3212]"/>
    </o:shapedefaults>
  </w:hdrShapeDefaults>
  <w:footnotePr>
    <w:footnote w:id="-1"/>
    <w:footnote w:id="0"/>
  </w:footnotePr>
  <w:endnotePr>
    <w:endnote w:id="-1"/>
    <w:endnote w:id="0"/>
  </w:endnotePr>
  <w:compat/>
  <w:docVars>
    <w:docVar w:name="SYSIDTEMPLATE" w:val="900891"/>
    <w:docVar w:name="SYSIDVERSION" w:val="948310"/>
    <w:docVar w:name="SYSPASSWORD" w:val="0"/>
    <w:docVar w:name="SYSTABNUM" w:val="22"/>
  </w:docVars>
  <w:rsids>
    <w:rsidRoot w:val="001D6CDB"/>
    <w:rsid w:val="00006372"/>
    <w:rsid w:val="00074541"/>
    <w:rsid w:val="000834ED"/>
    <w:rsid w:val="000B4627"/>
    <w:rsid w:val="000D3019"/>
    <w:rsid w:val="000F5AAC"/>
    <w:rsid w:val="00184249"/>
    <w:rsid w:val="00187878"/>
    <w:rsid w:val="001C23B6"/>
    <w:rsid w:val="001D3F17"/>
    <w:rsid w:val="001D6CDB"/>
    <w:rsid w:val="001F6CF2"/>
    <w:rsid w:val="0027007A"/>
    <w:rsid w:val="00277AD7"/>
    <w:rsid w:val="00281E55"/>
    <w:rsid w:val="002A41DA"/>
    <w:rsid w:val="002D476D"/>
    <w:rsid w:val="002D5D9B"/>
    <w:rsid w:val="003A5C2F"/>
    <w:rsid w:val="003C05FB"/>
    <w:rsid w:val="003C30C4"/>
    <w:rsid w:val="003E5FE4"/>
    <w:rsid w:val="003E7228"/>
    <w:rsid w:val="00475152"/>
    <w:rsid w:val="00483F39"/>
    <w:rsid w:val="004C3CCE"/>
    <w:rsid w:val="005423D0"/>
    <w:rsid w:val="005E5EEA"/>
    <w:rsid w:val="00624F9A"/>
    <w:rsid w:val="00646F37"/>
    <w:rsid w:val="0065769F"/>
    <w:rsid w:val="007C5355"/>
    <w:rsid w:val="008050AA"/>
    <w:rsid w:val="008523D6"/>
    <w:rsid w:val="008544DA"/>
    <w:rsid w:val="008B6332"/>
    <w:rsid w:val="008B735F"/>
    <w:rsid w:val="008E4A25"/>
    <w:rsid w:val="008F04F8"/>
    <w:rsid w:val="00910C00"/>
    <w:rsid w:val="009466BB"/>
    <w:rsid w:val="00966069"/>
    <w:rsid w:val="009A4D3B"/>
    <w:rsid w:val="009E25AC"/>
    <w:rsid w:val="00A45101"/>
    <w:rsid w:val="00AA4127"/>
    <w:rsid w:val="00AD1732"/>
    <w:rsid w:val="00B12738"/>
    <w:rsid w:val="00B21A34"/>
    <w:rsid w:val="00B264B6"/>
    <w:rsid w:val="00B76AD9"/>
    <w:rsid w:val="00BA7655"/>
    <w:rsid w:val="00BD4025"/>
    <w:rsid w:val="00C005FB"/>
    <w:rsid w:val="00C144E0"/>
    <w:rsid w:val="00C1548D"/>
    <w:rsid w:val="00C3092E"/>
    <w:rsid w:val="00C343D6"/>
    <w:rsid w:val="00C42A92"/>
    <w:rsid w:val="00C90133"/>
    <w:rsid w:val="00D00C4E"/>
    <w:rsid w:val="00D2599D"/>
    <w:rsid w:val="00D35567"/>
    <w:rsid w:val="00D60760"/>
    <w:rsid w:val="00DA46E5"/>
    <w:rsid w:val="00DD5898"/>
    <w:rsid w:val="00DF1908"/>
    <w:rsid w:val="00E314B9"/>
    <w:rsid w:val="00E3195D"/>
    <w:rsid w:val="00ED04A5"/>
    <w:rsid w:val="00ED339A"/>
    <w:rsid w:val="00EF2ADA"/>
    <w:rsid w:val="00F50DA7"/>
    <w:rsid w:val="00F61B94"/>
    <w:rsid w:val="00FE391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7A"/>
    <w:pPr>
      <w:spacing w:after="200" w:line="276" w:lineRule="auto"/>
    </w:pPr>
    <w:rPr>
      <w:sz w:val="22"/>
      <w:szCs w:val="22"/>
    </w:rPr>
  </w:style>
  <w:style w:type="paragraph" w:styleId="Titre5">
    <w:name w:val="heading 5"/>
    <w:basedOn w:val="Normal"/>
    <w:next w:val="Normal"/>
    <w:link w:val="Titre5Car"/>
    <w:qFormat/>
    <w:rsid w:val="008544DA"/>
    <w:pPr>
      <w:overflowPunct w:val="0"/>
      <w:autoSpaceDE w:val="0"/>
      <w:autoSpaceDN w:val="0"/>
      <w:adjustRightInd w:val="0"/>
      <w:spacing w:before="240" w:after="60" w:line="240" w:lineRule="auto"/>
      <w:jc w:val="both"/>
      <w:textAlignment w:val="baseline"/>
      <w:outlineLvl w:val="4"/>
    </w:pPr>
    <w:rPr>
      <w:rFonts w:ascii="Arial" w:hAnsi="Arial"/>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5EEA"/>
    <w:pPr>
      <w:tabs>
        <w:tab w:val="center" w:pos="4536"/>
        <w:tab w:val="right" w:pos="9072"/>
      </w:tabs>
      <w:spacing w:after="0" w:line="240" w:lineRule="auto"/>
    </w:pPr>
  </w:style>
  <w:style w:type="character" w:customStyle="1" w:styleId="En-tteCar">
    <w:name w:val="En-tête Car"/>
    <w:basedOn w:val="Policepardfaut"/>
    <w:link w:val="En-tte"/>
    <w:uiPriority w:val="99"/>
    <w:rsid w:val="005E5EEA"/>
  </w:style>
  <w:style w:type="paragraph" w:styleId="Pieddepage">
    <w:name w:val="footer"/>
    <w:basedOn w:val="Normal"/>
    <w:link w:val="PieddepageCar"/>
    <w:uiPriority w:val="99"/>
    <w:unhideWhenUsed/>
    <w:rsid w:val="005E5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EEA"/>
  </w:style>
  <w:style w:type="paragraph" w:styleId="Textedebulles">
    <w:name w:val="Balloon Text"/>
    <w:basedOn w:val="Normal"/>
    <w:link w:val="TextedebullesCar"/>
    <w:uiPriority w:val="99"/>
    <w:semiHidden/>
    <w:unhideWhenUsed/>
    <w:rsid w:val="005E5E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EEA"/>
    <w:rPr>
      <w:rFonts w:ascii="Tahoma" w:hAnsi="Tahoma" w:cs="Tahoma"/>
      <w:sz w:val="16"/>
      <w:szCs w:val="16"/>
    </w:rPr>
  </w:style>
  <w:style w:type="table" w:styleId="Grilledutableau">
    <w:name w:val="Table Grid"/>
    <w:basedOn w:val="TableauNormal"/>
    <w:uiPriority w:val="59"/>
    <w:rsid w:val="0091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rsid w:val="008544DA"/>
    <w:rPr>
      <w:rFonts w:ascii="Arial" w:hAnsi="Arial"/>
      <w:sz w:val="22"/>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F90D-F129-4C71-BD65-366A040E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vdocsvc</dc:creator>
  <cp:lastModifiedBy>Petignat Christiane (HOS42905)</cp:lastModifiedBy>
  <cp:revision>3</cp:revision>
  <cp:lastPrinted>2014-09-10T08:39:00Z</cp:lastPrinted>
  <dcterms:created xsi:type="dcterms:W3CDTF">2016-09-27T15:10:00Z</dcterms:created>
  <dcterms:modified xsi:type="dcterms:W3CDTF">2016-09-27T15:11:00Z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kCheckIn">
    <vt:i4>0</vt:i4>
  </property>
  <property fmtid="{D5CDD505-2E9C-101B-9397-08002B2CF9AE}" pid="3" name="IDVERSION">
    <vt:lpwstr>948310</vt:lpwstr>
  </property>
  <property fmtid="{D5CDD505-2E9C-101B-9397-08002B2CF9AE}" pid="4" name="DATABASENAME">
    <vt:lpwstr>VDOC_CHUV</vt:lpwstr>
  </property>
  <property fmtid="{D5CDD505-2E9C-101B-9397-08002B2CF9AE}" pid="5" name="HTTPMODE">
    <vt:lpwstr>http://</vt:lpwstr>
  </property>
  <property fmtid="{D5CDD505-2E9C-101B-9397-08002B2CF9AE}" pid="6" name="IIS_SERVERNAME">
    <vt:lpwstr>VDS1</vt:lpwstr>
  </property>
  <property fmtid="{D5CDD505-2E9C-101B-9397-08002B2CF9AE}" pid="7" name="IIS_SERVER">
    <vt:lpwstr>gedchuv.intranet.chuv</vt:lpwstr>
  </property>
  <property fmtid="{D5CDD505-2E9C-101B-9397-08002B2CF9AE}" pid="8" name="DB_GUID">
    <vt:lpwstr>{9CF397AD-894F-4ECE-94F3-CA5DB7B59846}</vt:lpwstr>
  </property>
  <property fmtid="{D5CDD505-2E9C-101B-9397-08002B2CF9AE}" pid="9" name="CHECKOUTBY">
    <vt:lpwstr>Petignat Christiane</vt:lpwstr>
  </property>
  <property fmtid="{D5CDD505-2E9C-101B-9397-08002B2CF9AE}" pid="10" name="CHECKOUTBY_USERID">
    <vt:lpwstr>700107</vt:lpwstr>
  </property>
  <property fmtid="{D5CDD505-2E9C-101B-9397-08002B2CF9AE}" pid="11" name="CHECKOUTDATE">
    <vt:lpwstr>27/09/2016</vt:lpwstr>
  </property>
  <property fmtid="{D5CDD505-2E9C-101B-9397-08002B2CF9AE}" pid="12" name="VERSION">
    <vt:lpwstr>1.1</vt:lpwstr>
  </property>
  <property fmtid="{D5CDD505-2E9C-101B-9397-08002B2CF9AE}" pid="13" name="CURSTEPNAME">
    <vt:lpwstr>Application</vt:lpwstr>
  </property>
  <property fmtid="{D5CDD505-2E9C-101B-9397-08002B2CF9AE}" pid="14" name="CUROPENAME">
    <vt:lpwstr>Not implemented</vt:lpwstr>
  </property>
  <property fmtid="{D5CDD505-2E9C-101B-9397-08002B2CF9AE}" pid="15" name="NEXTOPENAME">
    <vt:lpwstr>Not implemented</vt:lpwstr>
  </property>
  <property fmtid="{D5CDD505-2E9C-101B-9397-08002B2CF9AE}" pid="16" name="RESPNAME">
    <vt:lpwstr>Petignat Christiane</vt:lpwstr>
  </property>
  <property fmtid="{D5CDD505-2E9C-101B-9397-08002B2CF9AE}" pid="17" name="CREATORNAME">
    <vt:lpwstr>Petignat Christiane</vt:lpwstr>
  </property>
  <property fmtid="{D5CDD505-2E9C-101B-9397-08002B2CF9AE}" pid="18" name="CREATEDATE">
    <vt:lpwstr>03/05/2016</vt:lpwstr>
  </property>
  <property fmtid="{D5CDD505-2E9C-101B-9397-08002B2CF9AE}" pid="19" name="VERIFICATORNAME">
    <vt:lpwstr>Petignat Christiane</vt:lpwstr>
  </property>
  <property fmtid="{D5CDD505-2E9C-101B-9397-08002B2CF9AE}" pid="20" name="VERIFICATIONDATE">
    <vt:lpwstr>03/05/2016</vt:lpwstr>
  </property>
  <property fmtid="{D5CDD505-2E9C-101B-9397-08002B2CF9AE}" pid="21" name="REDACTORNAME">
    <vt:lpwstr>Petignat Christiane</vt:lpwstr>
  </property>
  <property fmtid="{D5CDD505-2E9C-101B-9397-08002B2CF9AE}" pid="22" name="REDACTIONDATE">
    <vt:lpwstr>03/05/2016</vt:lpwstr>
  </property>
  <property fmtid="{D5CDD505-2E9C-101B-9397-08002B2CF9AE}" pid="23" name="APPROBATORNAME">
    <vt:lpwstr>Petignat Christiane</vt:lpwstr>
  </property>
  <property fmtid="{D5CDD505-2E9C-101B-9397-08002B2CF9AE}" pid="24" name="APPROBATIONDATE">
    <vt:lpwstr>03/05/2016</vt:lpwstr>
  </property>
  <property fmtid="{D5CDD505-2E9C-101B-9397-08002B2CF9AE}" pid="25" name="IDFILE">
    <vt:lpwstr>1150415</vt:lpwstr>
  </property>
  <property fmtid="{D5CDD505-2E9C-101B-9397-08002B2CF9AE}" pid="26" name="CHECKSUM">
    <vt:lpwstr>46158</vt:lpwstr>
  </property>
  <property fmtid="{D5CDD505-2E9C-101B-9397-08002B2CF9AE}" pid="27" name="IDENTITIES">
    <vt:lpwstr/>
  </property>
  <property fmtid="{D5CDD505-2E9C-101B-9397-08002B2CF9AE}" pid="28" name="ENTITYNAME">
    <vt:lpwstr/>
  </property>
  <property fmtid="{D5CDD505-2E9C-101B-9397-08002B2CF9AE}" pid="29" name="REFERENCE">
    <vt:lpwstr>HPCI_W_FT_00197</vt:lpwstr>
  </property>
  <property fmtid="{D5CDD505-2E9C-101B-9397-08002B2CF9AE}" pid="30" name="TITLE">
    <vt:lpwstr>DP - mesure de la pression hydrostatique intra-péritonéale</vt:lpwstr>
  </property>
  <property fmtid="{D5CDD505-2E9C-101B-9397-08002B2CF9AE}" pid="31" name="VDOC_FREE_INITIALES_DES_UNITÉS">
    <vt:lpwstr>HPCI</vt:lpwstr>
  </property>
  <property fmtid="{D5CDD505-2E9C-101B-9397-08002B2CF9AE}" pid="32" name="VDOC_FREE_LISTE_DES_DOCUMENTS">
    <vt:lpwstr>FT</vt:lpwstr>
  </property>
  <property fmtid="{D5CDD505-2E9C-101B-9397-08002B2CF9AE}" pid="33" name="VDOC_FREE_LISTE_DE_PROCESSUS">
    <vt:lpwstr>W</vt:lpwstr>
  </property>
  <property fmtid="{D5CDD505-2E9C-101B-9397-08002B2CF9AE}" pid="34" name="OFFICIAL">
    <vt:lpwstr>Petignat Christiane</vt:lpwstr>
  </property>
</Properties>
</file>