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7B" w:rsidRPr="00C65012" w:rsidRDefault="0020717B" w:rsidP="0020717B">
      <w:pPr>
        <w:spacing w:after="0"/>
        <w:rPr>
          <w:rFonts w:ascii="Arial" w:hAnsi="Arial" w:cs="Arial"/>
          <w:sz w:val="20"/>
          <w:szCs w:val="20"/>
        </w:rPr>
      </w:pPr>
    </w:p>
    <w:p w:rsidR="008035ED" w:rsidRPr="00C65012" w:rsidRDefault="008035ED" w:rsidP="008035ED">
      <w:pPr>
        <w:tabs>
          <w:tab w:val="right" w:pos="1530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012">
        <w:rPr>
          <w:rFonts w:ascii="Arial" w:hAnsi="Arial" w:cs="Arial"/>
          <w:b/>
          <w:sz w:val="20"/>
          <w:szCs w:val="20"/>
        </w:rPr>
        <w:tab/>
      </w:r>
      <w:r w:rsidR="00691C39">
        <w:rPr>
          <w:rFonts w:ascii="Arial" w:hAnsi="Arial" w:cs="Arial"/>
          <w:b/>
          <w:sz w:val="20"/>
          <w:szCs w:val="20"/>
        </w:rPr>
        <w:t>Fiche technique</w:t>
      </w:r>
    </w:p>
    <w:p w:rsidR="008035ED" w:rsidRPr="00DF1908" w:rsidRDefault="008035ED" w:rsidP="008035ED">
      <w:pPr>
        <w:tabs>
          <w:tab w:val="right" w:pos="10348"/>
        </w:tabs>
        <w:spacing w:after="0" w:line="240" w:lineRule="auto"/>
        <w:rPr>
          <w:rFonts w:ascii="Arial" w:hAnsi="Arial" w:cs="Arial"/>
        </w:rPr>
      </w:pPr>
    </w:p>
    <w:p w:rsidR="008035ED" w:rsidRDefault="00B37F0D" w:rsidP="003867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effect w:val="antsRed"/>
        </w:rPr>
      </w:pPr>
      <w:bookmarkStart w:id="0" w:name="VDOCS17_14"/>
      <w:r w:rsidRPr="00B37F0D">
        <w:rPr>
          <w:rFonts w:ascii="Arial" w:hAnsi="Arial" w:cs="Arial"/>
          <w:b/>
          <w:sz w:val="24"/>
          <w:szCs w:val="24"/>
          <w:effect w:val="antsRed"/>
        </w:rPr>
        <w:t>BOP: Antibioprophylaxie en chirurgie urologique</w:t>
      </w:r>
      <w:bookmarkEnd w:id="0"/>
    </w:p>
    <w:p w:rsidR="004F5E3A" w:rsidRDefault="004F5E3A" w:rsidP="004F5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5E3A" w:rsidRDefault="003B45FF" w:rsidP="004F5E3A">
      <w:pPr>
        <w:spacing w:after="0" w:line="240" w:lineRule="auto"/>
        <w:rPr>
          <w:rFonts w:ascii="Arial" w:hAnsi="Arial" w:cs="Arial"/>
        </w:rPr>
      </w:pPr>
      <w:r w:rsidRPr="00904AEE">
        <w:rPr>
          <w:rFonts w:ascii="Arial" w:hAnsi="Arial" w:cs="Arial"/>
        </w:rPr>
        <w:t>A</w:t>
      </w:r>
      <w:r>
        <w:rPr>
          <w:rFonts w:ascii="Arial" w:hAnsi="Arial" w:cs="Arial"/>
        </w:rPr>
        <w:t>dapté</w:t>
      </w:r>
      <w:r w:rsidRPr="00904AEE">
        <w:rPr>
          <w:rFonts w:ascii="Arial" w:hAnsi="Arial" w:cs="Arial"/>
        </w:rPr>
        <w:t xml:space="preserve"> selon les recommandations Swissnoso 2015 </w:t>
      </w:r>
      <w:r w:rsidR="004F5E3A" w:rsidRPr="006F6E32">
        <w:rPr>
          <w:rFonts w:ascii="Arial" w:hAnsi="Arial" w:cs="Arial"/>
        </w:rPr>
        <w:t>(</w:t>
      </w:r>
      <w:hyperlink r:id="rId7" w:history="1">
        <w:r w:rsidR="006F6E32" w:rsidRPr="00733FD8">
          <w:rPr>
            <w:rStyle w:val="Lienhypertexte"/>
            <w:rFonts w:ascii="Arial" w:hAnsi="Arial" w:cs="Arial"/>
          </w:rPr>
          <w:t>http://www.swissnoso.ch/wp-content/uploads/pdf/v20_1_fr.pdf</w:t>
        </w:r>
      </w:hyperlink>
      <w:r w:rsidR="004F5E3A" w:rsidRPr="006F6E32">
        <w:rPr>
          <w:rFonts w:ascii="Arial" w:hAnsi="Arial" w:cs="Arial"/>
        </w:rPr>
        <w:t>)</w:t>
      </w:r>
    </w:p>
    <w:p w:rsidR="006F6E32" w:rsidRPr="006F6E32" w:rsidRDefault="006F6E32" w:rsidP="004F5E3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2274"/>
        <w:gridCol w:w="3205"/>
        <w:gridCol w:w="3090"/>
        <w:gridCol w:w="3090"/>
      </w:tblGrid>
      <w:tr w:rsidR="00220774" w:rsidRPr="00220774" w:rsidTr="00F16C87">
        <w:tc>
          <w:tcPr>
            <w:tcW w:w="3788" w:type="dxa"/>
          </w:tcPr>
          <w:p w:rsidR="002760BE" w:rsidRPr="00220774" w:rsidRDefault="002760BE" w:rsidP="002207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Type d’intervention</w:t>
            </w:r>
          </w:p>
        </w:tc>
        <w:tc>
          <w:tcPr>
            <w:tcW w:w="2274" w:type="dxa"/>
          </w:tcPr>
          <w:p w:rsidR="002760BE" w:rsidRPr="00220774" w:rsidRDefault="002760BE" w:rsidP="002207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Antibioprophylaxie recommandée</w:t>
            </w:r>
          </w:p>
        </w:tc>
        <w:tc>
          <w:tcPr>
            <w:tcW w:w="3205" w:type="dxa"/>
          </w:tcPr>
          <w:p w:rsidR="002760BE" w:rsidRPr="00220774" w:rsidRDefault="002760BE" w:rsidP="002207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Agents recommandés</w:t>
            </w:r>
          </w:p>
        </w:tc>
        <w:tc>
          <w:tcPr>
            <w:tcW w:w="3090" w:type="dxa"/>
          </w:tcPr>
          <w:p w:rsidR="002760BE" w:rsidRPr="00220774" w:rsidRDefault="002760BE" w:rsidP="002207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Alternative si allergie immédiate/type 1 aux B-lactames</w:t>
            </w:r>
          </w:p>
        </w:tc>
        <w:tc>
          <w:tcPr>
            <w:tcW w:w="3090" w:type="dxa"/>
          </w:tcPr>
          <w:p w:rsidR="002760BE" w:rsidRPr="00220774" w:rsidRDefault="002760BE" w:rsidP="002207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Agent utilisé dans l’institution</w:t>
            </w:r>
          </w:p>
        </w:tc>
      </w:tr>
      <w:tr w:rsidR="00220774" w:rsidRPr="00220774" w:rsidTr="00F16C87">
        <w:tc>
          <w:tcPr>
            <w:tcW w:w="3788" w:type="dxa"/>
          </w:tcPr>
          <w:p w:rsidR="002760BE" w:rsidRPr="00220774" w:rsidRDefault="002760BE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Intervention sur les voies urinaires basses avec facteurs de risque d’infection (yc biopsie transrectale de la prostate)</w:t>
            </w:r>
          </w:p>
        </w:tc>
        <w:tc>
          <w:tcPr>
            <w:tcW w:w="2274" w:type="dxa"/>
          </w:tcPr>
          <w:p w:rsidR="002760BE" w:rsidRPr="00220774" w:rsidRDefault="002760BE" w:rsidP="002207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oui</w:t>
            </w:r>
          </w:p>
        </w:tc>
        <w:tc>
          <w:tcPr>
            <w:tcW w:w="3205" w:type="dxa"/>
          </w:tcPr>
          <w:p w:rsidR="002760BE" w:rsidRPr="002320D4" w:rsidRDefault="002760BE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320D4">
              <w:rPr>
                <w:rFonts w:ascii="Arial" w:hAnsi="Arial" w:cs="Arial"/>
              </w:rPr>
              <w:t>Ciprofloxacine</w:t>
            </w:r>
            <w:r w:rsidR="002320D4" w:rsidRPr="002320D4">
              <w:rPr>
                <w:rFonts w:ascii="Arial" w:hAnsi="Arial" w:cs="Arial"/>
              </w:rPr>
              <w:t xml:space="preserve"> ou</w:t>
            </w:r>
          </w:p>
          <w:p w:rsidR="002760BE" w:rsidRPr="002320D4" w:rsidRDefault="002760BE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320D4">
              <w:rPr>
                <w:rFonts w:ascii="Arial" w:hAnsi="Arial" w:cs="Arial"/>
              </w:rPr>
              <w:t>Trimethoprim-sulfamethoxazole</w:t>
            </w:r>
            <w:r w:rsidR="002320D4" w:rsidRPr="002320D4">
              <w:rPr>
                <w:rFonts w:ascii="Arial" w:hAnsi="Arial" w:cs="Arial"/>
              </w:rPr>
              <w:t xml:space="preserve"> ou</w:t>
            </w:r>
          </w:p>
          <w:p w:rsidR="00F16C87" w:rsidRPr="002320D4" w:rsidRDefault="00F16C87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320D4">
              <w:rPr>
                <w:rFonts w:ascii="Arial" w:hAnsi="Arial" w:cs="Arial"/>
              </w:rPr>
              <w:t>Céfuroxime</w:t>
            </w:r>
            <w:r w:rsidR="002320D4" w:rsidRPr="002320D4">
              <w:rPr>
                <w:rFonts w:ascii="Arial" w:hAnsi="Arial" w:cs="Arial"/>
              </w:rPr>
              <w:t xml:space="preserve"> ou</w:t>
            </w:r>
            <w:r w:rsidRPr="002320D4">
              <w:rPr>
                <w:rFonts w:ascii="Arial" w:hAnsi="Arial" w:cs="Arial"/>
              </w:rPr>
              <w:t xml:space="preserve"> </w:t>
            </w:r>
          </w:p>
          <w:p w:rsidR="002760BE" w:rsidRPr="00F16C87" w:rsidRDefault="002760BE" w:rsidP="00220774">
            <w:pPr>
              <w:spacing w:after="0" w:line="240" w:lineRule="auto"/>
              <w:rPr>
                <w:rFonts w:ascii="Arial" w:hAnsi="Arial" w:cs="Arial"/>
                <w:vertAlign w:val="superscript"/>
                <w:lang w:val="en-US"/>
              </w:rPr>
            </w:pPr>
            <w:r w:rsidRPr="00220774">
              <w:rPr>
                <w:rFonts w:ascii="Arial" w:hAnsi="Arial" w:cs="Arial"/>
                <w:lang w:val="en-US"/>
              </w:rPr>
              <w:t>Céfazoline</w:t>
            </w:r>
            <w:r w:rsidR="002320D4">
              <w:rPr>
                <w:rFonts w:ascii="Arial" w:hAnsi="Arial" w:cs="Arial"/>
                <w:vertAlign w:val="superscript"/>
                <w:lang w:val="en-US"/>
              </w:rPr>
              <w:t>3</w:t>
            </w:r>
          </w:p>
        </w:tc>
        <w:tc>
          <w:tcPr>
            <w:tcW w:w="3090" w:type="dxa"/>
          </w:tcPr>
          <w:p w:rsidR="002760BE" w:rsidRPr="00220774" w:rsidRDefault="002760BE" w:rsidP="0022077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20774">
              <w:rPr>
                <w:rFonts w:ascii="Arial" w:hAnsi="Arial" w:cs="Arial"/>
                <w:lang w:val="en-US"/>
              </w:rPr>
              <w:t>Gentamicine</w:t>
            </w:r>
          </w:p>
          <w:p w:rsidR="002760BE" w:rsidRPr="00220774" w:rsidRDefault="002760BE" w:rsidP="0022077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20774">
              <w:rPr>
                <w:rFonts w:ascii="Arial" w:hAnsi="Arial" w:cs="Arial"/>
                <w:lang w:val="en-US"/>
              </w:rPr>
              <w:t xml:space="preserve">+/- </w:t>
            </w:r>
          </w:p>
          <w:p w:rsidR="002760BE" w:rsidRPr="00220774" w:rsidRDefault="002760BE" w:rsidP="0022077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20774">
              <w:rPr>
                <w:rFonts w:ascii="Arial" w:hAnsi="Arial" w:cs="Arial"/>
                <w:lang w:val="en-US"/>
              </w:rPr>
              <w:t>Clindamycine</w:t>
            </w:r>
          </w:p>
        </w:tc>
        <w:tc>
          <w:tcPr>
            <w:tcW w:w="3090" w:type="dxa"/>
          </w:tcPr>
          <w:p w:rsidR="002760BE" w:rsidRPr="00220774" w:rsidRDefault="002760BE" w:rsidP="0022077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20774" w:rsidRPr="00220774" w:rsidTr="00F16C87">
        <w:tc>
          <w:tcPr>
            <w:tcW w:w="3788" w:type="dxa"/>
          </w:tcPr>
          <w:p w:rsidR="002760BE" w:rsidRPr="00220774" w:rsidRDefault="002760BE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Chirurgie propre</w:t>
            </w:r>
            <w:r w:rsidR="00317B8A">
              <w:rPr>
                <w:rFonts w:ascii="Arial" w:hAnsi="Arial" w:cs="Arial"/>
                <w:vertAlign w:val="superscript"/>
              </w:rPr>
              <w:t>1</w:t>
            </w:r>
            <w:r w:rsidRPr="00220774">
              <w:rPr>
                <w:rFonts w:ascii="Arial" w:hAnsi="Arial" w:cs="Arial"/>
              </w:rPr>
              <w:t xml:space="preserve"> sans intervention sur les voies urinaires (cure d’ectopie testiculaire, prothèse pénienne)</w:t>
            </w:r>
          </w:p>
        </w:tc>
        <w:tc>
          <w:tcPr>
            <w:tcW w:w="2274" w:type="dxa"/>
          </w:tcPr>
          <w:p w:rsidR="002760BE" w:rsidRPr="00220774" w:rsidRDefault="002760BE" w:rsidP="002207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oui</w:t>
            </w:r>
          </w:p>
        </w:tc>
        <w:tc>
          <w:tcPr>
            <w:tcW w:w="3205" w:type="dxa"/>
          </w:tcPr>
          <w:p w:rsidR="00F16C87" w:rsidRDefault="002760BE" w:rsidP="00F16C87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Céfuroxime</w:t>
            </w:r>
            <w:r w:rsidR="00F16C87" w:rsidRPr="00220774">
              <w:rPr>
                <w:rFonts w:ascii="Arial" w:hAnsi="Arial" w:cs="Arial"/>
              </w:rPr>
              <w:t xml:space="preserve"> </w:t>
            </w:r>
            <w:r w:rsidR="002320D4">
              <w:rPr>
                <w:rFonts w:ascii="Arial" w:hAnsi="Arial" w:cs="Arial"/>
              </w:rPr>
              <w:t>ou</w:t>
            </w:r>
          </w:p>
          <w:p w:rsidR="002760BE" w:rsidRPr="002320D4" w:rsidRDefault="00F16C87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Céfazoline</w:t>
            </w:r>
            <w:r w:rsidR="002320D4">
              <w:rPr>
                <w:rFonts w:ascii="Arial" w:hAnsi="Arial" w:cs="Arial"/>
                <w:vertAlign w:val="superscript"/>
              </w:rPr>
              <w:t xml:space="preserve">3 </w:t>
            </w:r>
          </w:p>
          <w:p w:rsidR="002760BE" w:rsidRPr="00220774" w:rsidRDefault="002760BE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(PLUS Gentamicine si mise en place de matériel prothétique)</w:t>
            </w:r>
          </w:p>
        </w:tc>
        <w:tc>
          <w:tcPr>
            <w:tcW w:w="3090" w:type="dxa"/>
          </w:tcPr>
          <w:p w:rsidR="002760BE" w:rsidRPr="00220774" w:rsidRDefault="002760BE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Clindamycine</w:t>
            </w:r>
            <w:r w:rsidR="002320D4">
              <w:rPr>
                <w:rFonts w:ascii="Arial" w:hAnsi="Arial" w:cs="Arial"/>
              </w:rPr>
              <w:t xml:space="preserve"> ou</w:t>
            </w:r>
          </w:p>
          <w:p w:rsidR="002760BE" w:rsidRPr="00220774" w:rsidRDefault="002760BE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Vancomycine</w:t>
            </w:r>
          </w:p>
          <w:p w:rsidR="002760BE" w:rsidRPr="00220774" w:rsidRDefault="002760BE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(PLUS Gentamicine si mise en place de matériel prothétique)</w:t>
            </w:r>
          </w:p>
        </w:tc>
        <w:tc>
          <w:tcPr>
            <w:tcW w:w="3090" w:type="dxa"/>
          </w:tcPr>
          <w:p w:rsidR="002760BE" w:rsidRPr="00220774" w:rsidRDefault="002760BE" w:rsidP="002207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0774" w:rsidRPr="00220774" w:rsidTr="00F16C87">
        <w:tc>
          <w:tcPr>
            <w:tcW w:w="3788" w:type="dxa"/>
          </w:tcPr>
          <w:p w:rsidR="002760BE" w:rsidRPr="00220774" w:rsidRDefault="002760BE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Chirurgie propre</w:t>
            </w:r>
            <w:r w:rsidR="00317B8A">
              <w:rPr>
                <w:rFonts w:ascii="Arial" w:hAnsi="Arial" w:cs="Arial"/>
                <w:vertAlign w:val="superscript"/>
              </w:rPr>
              <w:t>1</w:t>
            </w:r>
            <w:r w:rsidRPr="00220774">
              <w:rPr>
                <w:rFonts w:ascii="Arial" w:hAnsi="Arial" w:cs="Arial"/>
              </w:rPr>
              <w:t xml:space="preserve"> avec intervention sur les voies urinaires (néphrectomie, traitement endoscopique des calculs urinaires, prostatectomie totale)</w:t>
            </w:r>
          </w:p>
        </w:tc>
        <w:tc>
          <w:tcPr>
            <w:tcW w:w="2274" w:type="dxa"/>
          </w:tcPr>
          <w:p w:rsidR="002760BE" w:rsidRPr="00220774" w:rsidRDefault="002760BE" w:rsidP="002207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oui</w:t>
            </w:r>
          </w:p>
        </w:tc>
        <w:tc>
          <w:tcPr>
            <w:tcW w:w="3205" w:type="dxa"/>
          </w:tcPr>
          <w:p w:rsidR="00F16C87" w:rsidRDefault="002760BE" w:rsidP="00F16C87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Céfuroxime</w:t>
            </w:r>
            <w:r w:rsidR="00F16C87" w:rsidRPr="00220774">
              <w:rPr>
                <w:rFonts w:ascii="Arial" w:hAnsi="Arial" w:cs="Arial"/>
              </w:rPr>
              <w:t xml:space="preserve"> </w:t>
            </w:r>
            <w:r w:rsidR="002320D4">
              <w:rPr>
                <w:rFonts w:ascii="Arial" w:hAnsi="Arial" w:cs="Arial"/>
              </w:rPr>
              <w:t>ou</w:t>
            </w:r>
          </w:p>
          <w:p w:rsidR="002760BE" w:rsidRPr="00F16C87" w:rsidRDefault="00F16C87" w:rsidP="00220774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Céfazoline</w:t>
            </w:r>
            <w:r w:rsidR="002320D4">
              <w:rPr>
                <w:rFonts w:ascii="Arial" w:hAnsi="Arial" w:cs="Arial"/>
                <w:vertAlign w:val="superscript"/>
              </w:rPr>
              <w:t>3</w:t>
            </w:r>
          </w:p>
          <w:p w:rsidR="002760BE" w:rsidRPr="00220774" w:rsidRDefault="002760BE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(PLUS Gentamicine si mise en place de matériel prothétique)</w:t>
            </w:r>
          </w:p>
        </w:tc>
        <w:tc>
          <w:tcPr>
            <w:tcW w:w="3090" w:type="dxa"/>
          </w:tcPr>
          <w:p w:rsidR="002760BE" w:rsidRPr="00220774" w:rsidRDefault="004F5E3A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Ciprofloxacine</w:t>
            </w:r>
            <w:r w:rsidR="002320D4">
              <w:rPr>
                <w:rFonts w:ascii="Arial" w:hAnsi="Arial" w:cs="Arial"/>
              </w:rPr>
              <w:t xml:space="preserve"> ou</w:t>
            </w:r>
          </w:p>
          <w:p w:rsidR="004F5E3A" w:rsidRPr="00220774" w:rsidRDefault="004F5E3A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Gentamicine</w:t>
            </w:r>
          </w:p>
          <w:p w:rsidR="004F5E3A" w:rsidRPr="00220774" w:rsidRDefault="004F5E3A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+/-</w:t>
            </w:r>
          </w:p>
          <w:p w:rsidR="004F5E3A" w:rsidRPr="00220774" w:rsidRDefault="004F5E3A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Clindamycine</w:t>
            </w:r>
          </w:p>
        </w:tc>
        <w:tc>
          <w:tcPr>
            <w:tcW w:w="3090" w:type="dxa"/>
          </w:tcPr>
          <w:p w:rsidR="002760BE" w:rsidRPr="00220774" w:rsidRDefault="002760BE" w:rsidP="002207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0774" w:rsidRPr="00220774" w:rsidTr="00F16C87">
        <w:tc>
          <w:tcPr>
            <w:tcW w:w="3788" w:type="dxa"/>
          </w:tcPr>
          <w:p w:rsidR="002760BE" w:rsidRPr="00220774" w:rsidRDefault="002760BE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Chirurgie propre-contaminée</w:t>
            </w:r>
            <w:r w:rsidR="002320D4">
              <w:rPr>
                <w:rFonts w:ascii="Arial" w:hAnsi="Arial" w:cs="Arial"/>
                <w:vertAlign w:val="superscript"/>
              </w:rPr>
              <w:t>2</w:t>
            </w:r>
            <w:r w:rsidRPr="00220774">
              <w:rPr>
                <w:rFonts w:ascii="Arial" w:hAnsi="Arial" w:cs="Arial"/>
              </w:rPr>
              <w:t xml:space="preserve"> (TURP, TURV, urétrotomie endoscopique, cystectomie</w:t>
            </w:r>
            <w:r w:rsidR="00EE4D50">
              <w:rPr>
                <w:rFonts w:ascii="Arial" w:hAnsi="Arial" w:cs="Arial"/>
              </w:rPr>
              <w:t>)</w:t>
            </w:r>
          </w:p>
        </w:tc>
        <w:tc>
          <w:tcPr>
            <w:tcW w:w="2274" w:type="dxa"/>
          </w:tcPr>
          <w:p w:rsidR="002760BE" w:rsidRPr="00220774" w:rsidRDefault="002760BE" w:rsidP="002207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oui</w:t>
            </w:r>
          </w:p>
        </w:tc>
        <w:tc>
          <w:tcPr>
            <w:tcW w:w="3205" w:type="dxa"/>
          </w:tcPr>
          <w:p w:rsidR="004F5E3A" w:rsidRPr="00F16C87" w:rsidRDefault="004F5E3A" w:rsidP="00220774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Céfuroxime</w:t>
            </w:r>
            <w:r w:rsidR="00F16C87" w:rsidRPr="00220774">
              <w:rPr>
                <w:rFonts w:ascii="Arial" w:hAnsi="Arial" w:cs="Arial"/>
              </w:rPr>
              <w:t xml:space="preserve"> </w:t>
            </w:r>
            <w:r w:rsidR="00F16C87">
              <w:rPr>
                <w:rFonts w:ascii="Arial" w:hAnsi="Arial" w:cs="Arial"/>
              </w:rPr>
              <w:t xml:space="preserve"> ou </w:t>
            </w:r>
            <w:r w:rsidR="00F16C87" w:rsidRPr="00220774">
              <w:rPr>
                <w:rFonts w:ascii="Arial" w:hAnsi="Arial" w:cs="Arial"/>
              </w:rPr>
              <w:t>Céfazoline</w:t>
            </w:r>
            <w:r w:rsidR="002320D4">
              <w:rPr>
                <w:rFonts w:ascii="Arial" w:hAnsi="Arial" w:cs="Arial"/>
                <w:vertAlign w:val="superscript"/>
              </w:rPr>
              <w:t>3</w:t>
            </w:r>
          </w:p>
          <w:p w:rsidR="004F5E3A" w:rsidRPr="00220774" w:rsidRDefault="004F5E3A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 xml:space="preserve">PLUS </w:t>
            </w:r>
          </w:p>
          <w:p w:rsidR="004F5E3A" w:rsidRPr="00220774" w:rsidRDefault="004F5E3A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Métronidazole</w:t>
            </w:r>
          </w:p>
        </w:tc>
        <w:tc>
          <w:tcPr>
            <w:tcW w:w="3090" w:type="dxa"/>
          </w:tcPr>
          <w:p w:rsidR="002760BE" w:rsidRPr="00220774" w:rsidRDefault="00655D91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Clindamycine</w:t>
            </w:r>
          </w:p>
          <w:p w:rsidR="00293D69" w:rsidRPr="00220774" w:rsidRDefault="00655D91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 xml:space="preserve">PLUS </w:t>
            </w:r>
          </w:p>
          <w:p w:rsidR="00655D91" w:rsidRPr="00220774" w:rsidRDefault="00655D91" w:rsidP="00220774">
            <w:pPr>
              <w:spacing w:after="0" w:line="240" w:lineRule="auto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Ciprofloxacine</w:t>
            </w:r>
          </w:p>
        </w:tc>
        <w:tc>
          <w:tcPr>
            <w:tcW w:w="3090" w:type="dxa"/>
          </w:tcPr>
          <w:p w:rsidR="002760BE" w:rsidRPr="00220774" w:rsidRDefault="002760BE" w:rsidP="002207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4479A" w:rsidRDefault="00D4479A" w:rsidP="0020717B">
      <w:pPr>
        <w:tabs>
          <w:tab w:val="left" w:pos="12333"/>
        </w:tabs>
        <w:spacing w:after="0"/>
        <w:rPr>
          <w:rFonts w:ascii="Arial" w:hAnsi="Arial" w:cs="Arial"/>
          <w:vertAlign w:val="superscript"/>
        </w:rPr>
      </w:pPr>
    </w:p>
    <w:p w:rsidR="006F6E32" w:rsidRPr="00FA75C5" w:rsidRDefault="004F5E3A" w:rsidP="0020717B">
      <w:pPr>
        <w:tabs>
          <w:tab w:val="left" w:pos="12333"/>
        </w:tabs>
        <w:spacing w:after="0"/>
        <w:rPr>
          <w:rFonts w:ascii="Arial" w:hAnsi="Arial" w:cs="Arial"/>
        </w:rPr>
      </w:pPr>
      <w:r w:rsidRPr="00FA75C5">
        <w:rPr>
          <w:rFonts w:ascii="Arial" w:hAnsi="Arial" w:cs="Arial"/>
          <w:vertAlign w:val="superscript"/>
        </w:rPr>
        <w:t>1</w:t>
      </w:r>
      <w:r w:rsidRPr="00FA75C5">
        <w:rPr>
          <w:rFonts w:ascii="Arial" w:hAnsi="Arial" w:cs="Arial"/>
        </w:rPr>
        <w:t xml:space="preserve">Absence d’infection/inflammation. Tractus génital non incisé. Paie fermée en première intention. Plaie drainée, si nécessaire, par un système clos. </w:t>
      </w:r>
    </w:p>
    <w:p w:rsidR="00D4479A" w:rsidRPr="00D4479A" w:rsidRDefault="00D4479A" w:rsidP="0020717B">
      <w:pPr>
        <w:tabs>
          <w:tab w:val="left" w:pos="12333"/>
        </w:tabs>
        <w:spacing w:after="0"/>
        <w:rPr>
          <w:rFonts w:ascii="Arial" w:hAnsi="Arial" w:cs="Arial"/>
          <w:sz w:val="16"/>
          <w:szCs w:val="16"/>
          <w:vertAlign w:val="superscript"/>
        </w:rPr>
      </w:pPr>
    </w:p>
    <w:p w:rsidR="006F6E32" w:rsidRPr="00FA75C5" w:rsidRDefault="002320D4" w:rsidP="0020717B">
      <w:pPr>
        <w:tabs>
          <w:tab w:val="left" w:pos="12333"/>
        </w:tabs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4F5E3A" w:rsidRPr="00FA75C5">
        <w:rPr>
          <w:rFonts w:ascii="Arial" w:hAnsi="Arial" w:cs="Arial"/>
        </w:rPr>
        <w:t>Incision sous contrôle du tractus urogénital, sans contamination i</w:t>
      </w:r>
      <w:r w:rsidR="00317B8A">
        <w:rPr>
          <w:rFonts w:ascii="Arial" w:hAnsi="Arial" w:cs="Arial"/>
        </w:rPr>
        <w:t xml:space="preserve">nhabituelle. Absence </w:t>
      </w:r>
      <w:r w:rsidR="004F5E3A" w:rsidRPr="00FA75C5">
        <w:rPr>
          <w:rFonts w:ascii="Arial" w:hAnsi="Arial" w:cs="Arial"/>
        </w:rPr>
        <w:t>d’infection</w:t>
      </w:r>
      <w:r w:rsidR="00317B8A">
        <w:rPr>
          <w:rFonts w:ascii="Arial" w:hAnsi="Arial" w:cs="Arial"/>
        </w:rPr>
        <w:t>/inflammation</w:t>
      </w:r>
      <w:r w:rsidR="004F5E3A" w:rsidRPr="00FA75C5">
        <w:rPr>
          <w:rFonts w:ascii="Arial" w:hAnsi="Arial" w:cs="Arial"/>
        </w:rPr>
        <w:t xml:space="preserve">. Absence d’interruption de la technique aseptique. </w:t>
      </w:r>
    </w:p>
    <w:p w:rsidR="00D4479A" w:rsidRPr="00D4479A" w:rsidRDefault="00D4479A" w:rsidP="0020717B">
      <w:pPr>
        <w:tabs>
          <w:tab w:val="left" w:pos="12333"/>
        </w:tabs>
        <w:spacing w:after="0"/>
        <w:rPr>
          <w:rFonts w:ascii="Arial" w:hAnsi="Arial" w:cs="Arial"/>
          <w:sz w:val="16"/>
          <w:szCs w:val="16"/>
          <w:vertAlign w:val="superscript"/>
        </w:rPr>
      </w:pPr>
    </w:p>
    <w:p w:rsidR="00FA75C5" w:rsidRDefault="002320D4" w:rsidP="0020717B">
      <w:pPr>
        <w:tabs>
          <w:tab w:val="left" w:pos="12333"/>
        </w:tabs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FA75C5" w:rsidRPr="00FA75C5">
        <w:rPr>
          <w:rFonts w:ascii="Arial" w:hAnsi="Arial" w:cs="Arial"/>
        </w:rPr>
        <w:t>Noter</w:t>
      </w:r>
      <w:r w:rsidR="00FA75C5">
        <w:rPr>
          <w:rFonts w:ascii="Arial" w:hAnsi="Arial" w:cs="Arial"/>
        </w:rPr>
        <w:t xml:space="preserve"> toutefois que la Céfazoline ne permet pas une couverture optimale des Bacilles à Gram négatif</w:t>
      </w:r>
    </w:p>
    <w:p w:rsidR="004F5E3A" w:rsidRDefault="004F5E3A" w:rsidP="00D4479A">
      <w:pPr>
        <w:tabs>
          <w:tab w:val="left" w:pos="12333"/>
        </w:tabs>
        <w:spacing w:before="120" w:after="0"/>
        <w:rPr>
          <w:rFonts w:ascii="Arial" w:hAnsi="Arial" w:cs="Arial"/>
        </w:rPr>
      </w:pPr>
      <w:r w:rsidRPr="006F6E32">
        <w:rPr>
          <w:rFonts w:ascii="Arial" w:hAnsi="Arial" w:cs="Arial"/>
          <w:b/>
        </w:rPr>
        <w:t>Remarque </w:t>
      </w:r>
      <w:r w:rsidRPr="006F6E32">
        <w:rPr>
          <w:rFonts w:ascii="Arial" w:hAnsi="Arial" w:cs="Arial"/>
        </w:rPr>
        <w:t>: Si le patient est connu pour une colonisation avec un germe ESBL, adapter l’antibioprophylaxie en accord avec l’infectiologue</w:t>
      </w:r>
      <w:r w:rsidR="006F6E32">
        <w:rPr>
          <w:rFonts w:ascii="Arial" w:hAnsi="Arial" w:cs="Arial"/>
        </w:rPr>
        <w:br w:type="page"/>
      </w:r>
      <w:r w:rsidR="0084771B" w:rsidRPr="0084771B">
        <w:rPr>
          <w:rFonts w:ascii="Arial" w:hAnsi="Arial" w:cs="Arial"/>
          <w:b/>
        </w:rPr>
        <w:lastRenderedPageBreak/>
        <w:t>Tableau des posologies pour la chirurgie urologique</w:t>
      </w:r>
    </w:p>
    <w:p w:rsidR="0084771B" w:rsidRPr="006F6E32" w:rsidRDefault="0084771B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94"/>
        <w:gridCol w:w="2551"/>
        <w:gridCol w:w="2693"/>
        <w:gridCol w:w="1701"/>
        <w:gridCol w:w="1843"/>
        <w:gridCol w:w="1637"/>
      </w:tblGrid>
      <w:tr w:rsidR="00220774" w:rsidRPr="00220774" w:rsidTr="00220774">
        <w:tc>
          <w:tcPr>
            <w:tcW w:w="2376" w:type="dxa"/>
          </w:tcPr>
          <w:p w:rsidR="00293D69" w:rsidRPr="00220774" w:rsidRDefault="00293D69" w:rsidP="00220774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Antibiotique</w:t>
            </w:r>
          </w:p>
        </w:tc>
        <w:tc>
          <w:tcPr>
            <w:tcW w:w="2694" w:type="dxa"/>
          </w:tcPr>
          <w:p w:rsidR="00293D69" w:rsidRPr="00220774" w:rsidRDefault="00293D69" w:rsidP="00220774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Posologie recommandée</w:t>
            </w:r>
          </w:p>
        </w:tc>
        <w:tc>
          <w:tcPr>
            <w:tcW w:w="2551" w:type="dxa"/>
          </w:tcPr>
          <w:p w:rsidR="00293D69" w:rsidRPr="00220774" w:rsidRDefault="00293D69" w:rsidP="00220774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Mode</w:t>
            </w:r>
          </w:p>
        </w:tc>
        <w:tc>
          <w:tcPr>
            <w:tcW w:w="2693" w:type="dxa"/>
          </w:tcPr>
          <w:p w:rsidR="00293D69" w:rsidRPr="00220774" w:rsidRDefault="00293D69" w:rsidP="00220774">
            <w:pPr>
              <w:tabs>
                <w:tab w:val="left" w:pos="12333"/>
              </w:tabs>
              <w:spacing w:after="0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T1/2 chez l’adulte avec une fonction rénale normale</w:t>
            </w:r>
          </w:p>
        </w:tc>
        <w:tc>
          <w:tcPr>
            <w:tcW w:w="5181" w:type="dxa"/>
            <w:gridSpan w:val="3"/>
          </w:tcPr>
          <w:p w:rsidR="00293D69" w:rsidRPr="00220774" w:rsidRDefault="00293D69" w:rsidP="00220774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Intervalle d’administration de la 2</w:t>
            </w:r>
            <w:r w:rsidRPr="00220774">
              <w:rPr>
                <w:rFonts w:ascii="Arial" w:hAnsi="Arial" w:cs="Arial"/>
                <w:b/>
                <w:vertAlign w:val="superscript"/>
              </w:rPr>
              <w:t>e</w:t>
            </w:r>
            <w:r w:rsidRPr="00220774">
              <w:rPr>
                <w:rFonts w:ascii="Arial" w:hAnsi="Arial" w:cs="Arial"/>
                <w:b/>
              </w:rPr>
              <w:t xml:space="preserve"> dose (à partir de l’initiation de la dose préopératoire)</w:t>
            </w:r>
          </w:p>
        </w:tc>
      </w:tr>
      <w:tr w:rsidR="00220774" w:rsidRPr="00220774" w:rsidTr="00220774">
        <w:tc>
          <w:tcPr>
            <w:tcW w:w="2376" w:type="dxa"/>
          </w:tcPr>
          <w:p w:rsidR="00E50768" w:rsidRPr="00220774" w:rsidRDefault="00E50768" w:rsidP="00220774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CrCl&gt;50</w:t>
            </w:r>
          </w:p>
        </w:tc>
        <w:tc>
          <w:tcPr>
            <w:tcW w:w="1843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 20-50</w:t>
            </w:r>
          </w:p>
        </w:tc>
        <w:tc>
          <w:tcPr>
            <w:tcW w:w="1637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CrCl&lt;20</w:t>
            </w:r>
          </w:p>
        </w:tc>
      </w:tr>
      <w:tr w:rsidR="00220774" w:rsidRPr="00220774" w:rsidTr="00220774">
        <w:tc>
          <w:tcPr>
            <w:tcW w:w="2376" w:type="dxa"/>
          </w:tcPr>
          <w:p w:rsidR="00E50768" w:rsidRPr="00220774" w:rsidRDefault="00E50768" w:rsidP="00220774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Céfazoline</w:t>
            </w:r>
          </w:p>
        </w:tc>
        <w:tc>
          <w:tcPr>
            <w:tcW w:w="2694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2g</w:t>
            </w:r>
            <w:r w:rsidRPr="00220774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Iv lent en 3-5 min</w:t>
            </w:r>
          </w:p>
        </w:tc>
        <w:tc>
          <w:tcPr>
            <w:tcW w:w="2693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1.2-2.2h</w:t>
            </w:r>
          </w:p>
        </w:tc>
        <w:tc>
          <w:tcPr>
            <w:tcW w:w="1701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3-4h</w:t>
            </w:r>
          </w:p>
        </w:tc>
        <w:tc>
          <w:tcPr>
            <w:tcW w:w="1843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8h</w:t>
            </w:r>
          </w:p>
        </w:tc>
        <w:tc>
          <w:tcPr>
            <w:tcW w:w="1637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16h</w:t>
            </w:r>
          </w:p>
        </w:tc>
      </w:tr>
      <w:tr w:rsidR="00220774" w:rsidRPr="00220774" w:rsidTr="00220774">
        <w:tc>
          <w:tcPr>
            <w:tcW w:w="2376" w:type="dxa"/>
          </w:tcPr>
          <w:p w:rsidR="00E50768" w:rsidRPr="00220774" w:rsidRDefault="00E50768" w:rsidP="00220774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Céfuroxime</w:t>
            </w:r>
          </w:p>
        </w:tc>
        <w:tc>
          <w:tcPr>
            <w:tcW w:w="2694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1.5g</w:t>
            </w:r>
            <w:r w:rsidRPr="00220774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Iv lent en 3-5 min</w:t>
            </w:r>
          </w:p>
        </w:tc>
        <w:tc>
          <w:tcPr>
            <w:tcW w:w="2693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1-2h</w:t>
            </w:r>
          </w:p>
        </w:tc>
        <w:tc>
          <w:tcPr>
            <w:tcW w:w="1701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3-4h</w:t>
            </w:r>
          </w:p>
        </w:tc>
        <w:tc>
          <w:tcPr>
            <w:tcW w:w="1843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637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12h</w:t>
            </w:r>
          </w:p>
        </w:tc>
      </w:tr>
      <w:tr w:rsidR="00220774" w:rsidRPr="00220774" w:rsidTr="00220774">
        <w:tc>
          <w:tcPr>
            <w:tcW w:w="2376" w:type="dxa"/>
          </w:tcPr>
          <w:p w:rsidR="00E50768" w:rsidRPr="00220774" w:rsidRDefault="00E50768" w:rsidP="00220774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Clindamycine</w:t>
            </w:r>
          </w:p>
        </w:tc>
        <w:tc>
          <w:tcPr>
            <w:tcW w:w="2694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600mg</w:t>
            </w:r>
            <w:r w:rsidRPr="00220774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Perfusion sur 30 min</w:t>
            </w:r>
          </w:p>
        </w:tc>
        <w:tc>
          <w:tcPr>
            <w:tcW w:w="2693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2-4h</w:t>
            </w:r>
          </w:p>
        </w:tc>
        <w:tc>
          <w:tcPr>
            <w:tcW w:w="1701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843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637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</w:tr>
      <w:tr w:rsidR="00220774" w:rsidRPr="00220774" w:rsidTr="00220774">
        <w:tc>
          <w:tcPr>
            <w:tcW w:w="2376" w:type="dxa"/>
          </w:tcPr>
          <w:p w:rsidR="00E50768" w:rsidRPr="00220774" w:rsidRDefault="00E50768" w:rsidP="00220774">
            <w:pPr>
              <w:tabs>
                <w:tab w:val="left" w:pos="12333"/>
              </w:tabs>
              <w:spacing w:after="0"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Vancomycine</w:t>
            </w:r>
            <w:r w:rsidRPr="00220774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694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15mg/kg, max.2500mg</w:t>
            </w:r>
          </w:p>
        </w:tc>
        <w:tc>
          <w:tcPr>
            <w:tcW w:w="2551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≤ 1g/60-90min</w:t>
            </w:r>
          </w:p>
        </w:tc>
        <w:tc>
          <w:tcPr>
            <w:tcW w:w="2693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4-8h</w:t>
            </w:r>
          </w:p>
        </w:tc>
        <w:tc>
          <w:tcPr>
            <w:tcW w:w="1701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8h</w:t>
            </w:r>
          </w:p>
        </w:tc>
        <w:tc>
          <w:tcPr>
            <w:tcW w:w="1843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16h</w:t>
            </w:r>
          </w:p>
        </w:tc>
        <w:tc>
          <w:tcPr>
            <w:tcW w:w="1637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Dose unique</w:t>
            </w:r>
          </w:p>
        </w:tc>
      </w:tr>
      <w:tr w:rsidR="00220774" w:rsidRPr="00220774" w:rsidTr="00220774">
        <w:tc>
          <w:tcPr>
            <w:tcW w:w="2376" w:type="dxa"/>
          </w:tcPr>
          <w:p w:rsidR="00E50768" w:rsidRPr="00220774" w:rsidRDefault="00E50768" w:rsidP="00220774">
            <w:pPr>
              <w:tabs>
                <w:tab w:val="left" w:pos="12333"/>
              </w:tabs>
              <w:spacing w:after="0"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Gentamicine</w:t>
            </w:r>
            <w:r w:rsidRPr="0022077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694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5mg/kg. Max 540mg</w:t>
            </w:r>
          </w:p>
        </w:tc>
        <w:tc>
          <w:tcPr>
            <w:tcW w:w="2551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Perfusion sur 30 min</w:t>
            </w:r>
          </w:p>
        </w:tc>
        <w:tc>
          <w:tcPr>
            <w:tcW w:w="2693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2-3h</w:t>
            </w:r>
          </w:p>
        </w:tc>
        <w:tc>
          <w:tcPr>
            <w:tcW w:w="1701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Dose unique</w:t>
            </w:r>
          </w:p>
        </w:tc>
        <w:tc>
          <w:tcPr>
            <w:tcW w:w="1843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Dose unique</w:t>
            </w:r>
          </w:p>
        </w:tc>
        <w:tc>
          <w:tcPr>
            <w:tcW w:w="1637" w:type="dxa"/>
          </w:tcPr>
          <w:p w:rsidR="00E50768" w:rsidRPr="00220774" w:rsidRDefault="00E50768" w:rsidP="00220774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Dose unique</w:t>
            </w:r>
          </w:p>
        </w:tc>
      </w:tr>
      <w:tr w:rsidR="00220774" w:rsidRPr="00220774" w:rsidTr="00220774">
        <w:tc>
          <w:tcPr>
            <w:tcW w:w="2376" w:type="dxa"/>
          </w:tcPr>
          <w:p w:rsidR="00E50768" w:rsidRPr="00220774" w:rsidRDefault="00E50768" w:rsidP="00220774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Ciprofloxacine</w:t>
            </w:r>
          </w:p>
        </w:tc>
        <w:tc>
          <w:tcPr>
            <w:tcW w:w="2694" w:type="dxa"/>
          </w:tcPr>
          <w:p w:rsidR="00E50768" w:rsidRPr="00220774" w:rsidRDefault="00E50768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400mg</w:t>
            </w:r>
          </w:p>
        </w:tc>
        <w:tc>
          <w:tcPr>
            <w:tcW w:w="2551" w:type="dxa"/>
          </w:tcPr>
          <w:p w:rsidR="00E50768" w:rsidRPr="00220774" w:rsidRDefault="00E50768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Perfusion sur 30-60 min</w:t>
            </w:r>
          </w:p>
        </w:tc>
        <w:tc>
          <w:tcPr>
            <w:tcW w:w="2693" w:type="dxa"/>
          </w:tcPr>
          <w:p w:rsidR="00E50768" w:rsidRPr="00220774" w:rsidRDefault="00E50768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3-7h</w:t>
            </w:r>
          </w:p>
        </w:tc>
        <w:tc>
          <w:tcPr>
            <w:tcW w:w="1701" w:type="dxa"/>
          </w:tcPr>
          <w:p w:rsidR="00E50768" w:rsidRPr="00220774" w:rsidRDefault="00E50768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8h</w:t>
            </w:r>
          </w:p>
        </w:tc>
        <w:tc>
          <w:tcPr>
            <w:tcW w:w="1843" w:type="dxa"/>
          </w:tcPr>
          <w:p w:rsidR="00E50768" w:rsidRPr="00220774" w:rsidRDefault="00E50768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12h</w:t>
            </w:r>
          </w:p>
        </w:tc>
        <w:tc>
          <w:tcPr>
            <w:tcW w:w="1637" w:type="dxa"/>
          </w:tcPr>
          <w:p w:rsidR="00E50768" w:rsidRPr="00220774" w:rsidRDefault="00E50768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Dose unique</w:t>
            </w:r>
          </w:p>
        </w:tc>
      </w:tr>
      <w:tr w:rsidR="00220774" w:rsidRPr="00220774" w:rsidTr="00220774">
        <w:tc>
          <w:tcPr>
            <w:tcW w:w="2376" w:type="dxa"/>
          </w:tcPr>
          <w:p w:rsidR="00E50768" w:rsidRPr="00220774" w:rsidRDefault="00E50768" w:rsidP="00220774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Métronidazole</w:t>
            </w:r>
          </w:p>
        </w:tc>
        <w:tc>
          <w:tcPr>
            <w:tcW w:w="2694" w:type="dxa"/>
          </w:tcPr>
          <w:p w:rsidR="00E50768" w:rsidRPr="00220774" w:rsidRDefault="00E50768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500mg</w:t>
            </w:r>
          </w:p>
        </w:tc>
        <w:tc>
          <w:tcPr>
            <w:tcW w:w="2551" w:type="dxa"/>
          </w:tcPr>
          <w:p w:rsidR="00E50768" w:rsidRPr="00220774" w:rsidRDefault="00E50768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Perfusion sur 20 min</w:t>
            </w:r>
          </w:p>
        </w:tc>
        <w:tc>
          <w:tcPr>
            <w:tcW w:w="2693" w:type="dxa"/>
          </w:tcPr>
          <w:p w:rsidR="00E50768" w:rsidRPr="00220774" w:rsidRDefault="00E50768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6-8h</w:t>
            </w:r>
          </w:p>
        </w:tc>
        <w:tc>
          <w:tcPr>
            <w:tcW w:w="1701" w:type="dxa"/>
          </w:tcPr>
          <w:p w:rsidR="00E50768" w:rsidRPr="00220774" w:rsidRDefault="00E50768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 xml:space="preserve">8h </w:t>
            </w:r>
          </w:p>
        </w:tc>
        <w:tc>
          <w:tcPr>
            <w:tcW w:w="1843" w:type="dxa"/>
          </w:tcPr>
          <w:p w:rsidR="00E50768" w:rsidRPr="00220774" w:rsidRDefault="00E50768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8h</w:t>
            </w:r>
          </w:p>
        </w:tc>
        <w:tc>
          <w:tcPr>
            <w:tcW w:w="1637" w:type="dxa"/>
          </w:tcPr>
          <w:p w:rsidR="00E50768" w:rsidRPr="00220774" w:rsidRDefault="00E50768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8h</w:t>
            </w:r>
          </w:p>
        </w:tc>
      </w:tr>
    </w:tbl>
    <w:p w:rsidR="00F16C87" w:rsidRDefault="00F16C87" w:rsidP="003B45FF">
      <w:pPr>
        <w:tabs>
          <w:tab w:val="left" w:pos="12333"/>
        </w:tabs>
        <w:spacing w:after="0"/>
        <w:rPr>
          <w:rFonts w:ascii="Arial" w:hAnsi="Arial" w:cs="Arial"/>
          <w:vertAlign w:val="superscript"/>
        </w:rPr>
      </w:pPr>
    </w:p>
    <w:p w:rsidR="003B45FF" w:rsidRPr="003476F6" w:rsidRDefault="003B45FF" w:rsidP="003B45FF">
      <w:pPr>
        <w:tabs>
          <w:tab w:val="left" w:pos="12333"/>
        </w:tabs>
        <w:spacing w:after="0"/>
        <w:rPr>
          <w:rFonts w:ascii="Arial" w:hAnsi="Arial" w:cs="Arial"/>
        </w:rPr>
      </w:pPr>
      <w:r w:rsidRPr="003476F6">
        <w:rPr>
          <w:rFonts w:ascii="Arial" w:hAnsi="Arial" w:cs="Arial"/>
          <w:vertAlign w:val="superscript"/>
        </w:rPr>
        <w:t>1</w:t>
      </w:r>
      <w:r w:rsidRPr="003476F6">
        <w:rPr>
          <w:rFonts w:ascii="Arial" w:hAnsi="Arial" w:cs="Arial"/>
        </w:rPr>
        <w:t>Administré</w:t>
      </w:r>
      <w:r>
        <w:rPr>
          <w:rFonts w:ascii="Arial" w:hAnsi="Arial" w:cs="Arial"/>
        </w:rPr>
        <w:t>e</w:t>
      </w:r>
      <w:r w:rsidRPr="003476F6">
        <w:rPr>
          <w:rFonts w:ascii="Arial" w:hAnsi="Arial" w:cs="Arial"/>
        </w:rPr>
        <w:t xml:space="preserve"> dans les 60-120 min avant l’incision</w:t>
      </w:r>
      <w:r>
        <w:rPr>
          <w:rFonts w:ascii="Arial" w:hAnsi="Arial" w:cs="Arial"/>
        </w:rPr>
        <w:t xml:space="preserve"> (30-60min pour les autres antibiotiques)</w:t>
      </w:r>
    </w:p>
    <w:p w:rsidR="00F16C87" w:rsidRDefault="00F16C87" w:rsidP="006F6E32">
      <w:pPr>
        <w:tabs>
          <w:tab w:val="left" w:pos="12333"/>
        </w:tabs>
        <w:spacing w:after="0"/>
        <w:rPr>
          <w:rFonts w:ascii="Arial" w:hAnsi="Arial" w:cs="Arial"/>
          <w:vertAlign w:val="superscript"/>
        </w:rPr>
      </w:pPr>
    </w:p>
    <w:p w:rsidR="006F6E32" w:rsidRPr="006F6E32" w:rsidRDefault="006F6E32" w:rsidP="006F6E32">
      <w:pPr>
        <w:tabs>
          <w:tab w:val="left" w:pos="12333"/>
        </w:tabs>
        <w:spacing w:after="0"/>
        <w:rPr>
          <w:rFonts w:ascii="Arial" w:hAnsi="Arial" w:cs="Arial"/>
        </w:rPr>
      </w:pPr>
      <w:r w:rsidRPr="006F6E32">
        <w:rPr>
          <w:rFonts w:ascii="Arial" w:hAnsi="Arial" w:cs="Arial"/>
          <w:vertAlign w:val="superscript"/>
        </w:rPr>
        <w:t>2</w:t>
      </w:r>
      <w:r w:rsidRPr="006F6E32">
        <w:rPr>
          <w:rFonts w:ascii="Arial" w:hAnsi="Arial" w:cs="Arial"/>
        </w:rPr>
        <w:t xml:space="preserve">En prophylaxie chirurgicale, la gentamicine est en général limitée à une dose unique. La posologie est fonction du poids du patient. Si le poids du patient dépasse de plus de 20% le poids idéal (ideal body weight - IBW), le poids à considérer pour calculer la dose (dosing weight - DW) est déterminé comme suit: DW=IBW+0.4(poids mesuré−IBW) </w:t>
      </w:r>
    </w:p>
    <w:p w:rsidR="00F16C87" w:rsidRDefault="00F16C87" w:rsidP="006F6E32">
      <w:pPr>
        <w:tabs>
          <w:tab w:val="left" w:pos="12333"/>
        </w:tabs>
        <w:spacing w:after="0"/>
        <w:rPr>
          <w:rFonts w:ascii="Arial" w:hAnsi="Arial" w:cs="Arial"/>
          <w:vertAlign w:val="superscript"/>
        </w:rPr>
      </w:pPr>
    </w:p>
    <w:p w:rsidR="006F6E32" w:rsidRPr="006F6E32" w:rsidRDefault="006F6E32" w:rsidP="006F6E32">
      <w:pPr>
        <w:tabs>
          <w:tab w:val="left" w:pos="12333"/>
        </w:tabs>
        <w:spacing w:after="0"/>
        <w:rPr>
          <w:rFonts w:ascii="Arial" w:hAnsi="Arial" w:cs="Arial"/>
        </w:rPr>
      </w:pPr>
      <w:r w:rsidRPr="006F6E32">
        <w:rPr>
          <w:rFonts w:ascii="Arial" w:hAnsi="Arial" w:cs="Arial"/>
          <w:vertAlign w:val="superscript"/>
        </w:rPr>
        <w:t>3</w:t>
      </w:r>
      <w:r w:rsidRPr="006F6E32">
        <w:rPr>
          <w:rFonts w:ascii="Arial" w:hAnsi="Arial" w:cs="Arial"/>
        </w:rPr>
        <w:t>En accord avec les recommandations internationales, Si &gt;120kg : 3g de Céfazoline et de Céfuroxime. Si &gt;80kg : 900mg de Clindamycine. 2e dose pas adaptée au poids</w:t>
      </w:r>
    </w:p>
    <w:p w:rsidR="006F6E32" w:rsidRPr="006F6E32" w:rsidRDefault="006F6E32" w:rsidP="006F6E32">
      <w:pPr>
        <w:rPr>
          <w:rFonts w:ascii="Arial" w:hAnsi="Arial" w:cs="Arial"/>
        </w:rPr>
      </w:pPr>
    </w:p>
    <w:p w:rsidR="0020717B" w:rsidRPr="006F6E32" w:rsidRDefault="0020717B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p w:rsidR="003867EF" w:rsidRDefault="003867EF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sectPr w:rsidR="003867EF" w:rsidSect="00C65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42" w:right="680" w:bottom="1276" w:left="851" w:header="426" w:footer="5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09" w:rsidRDefault="00785509" w:rsidP="0020717B">
      <w:pPr>
        <w:spacing w:after="0" w:line="240" w:lineRule="auto"/>
      </w:pPr>
      <w:r>
        <w:separator/>
      </w:r>
    </w:p>
  </w:endnote>
  <w:endnote w:type="continuationSeparator" w:id="0">
    <w:p w:rsidR="00785509" w:rsidRDefault="00785509" w:rsidP="0020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55" w:rsidRPr="008035ED" w:rsidRDefault="00B37F0D" w:rsidP="004958D5">
    <w:pPr>
      <w:pStyle w:val="Pieddepage"/>
      <w:pBdr>
        <w:top w:val="single" w:sz="4" w:space="1" w:color="auto"/>
      </w:pBdr>
      <w:ind w:left="567"/>
      <w:rPr>
        <w:rFonts w:ascii="Arial" w:hAnsi="Arial" w:cs="Arial"/>
        <w:sz w:val="16"/>
      </w:rPr>
    </w:pPr>
    <w:bookmarkStart w:id="1" w:name="VDOCS13_750040"/>
    <w:r w:rsidRPr="00B37F0D">
      <w:rPr>
        <w:rFonts w:ascii="Arial" w:hAnsi="Arial" w:cs="Arial"/>
        <w:sz w:val="16"/>
        <w:effect w:val="antsRed"/>
      </w:rPr>
      <w:t>BOP: Antibioprophylaxie en chirurgie urologique</w:t>
    </w:r>
    <w:bookmarkEnd w:id="1"/>
  </w:p>
  <w:p w:rsidR="00D27155" w:rsidRPr="008035ED" w:rsidRDefault="00B37F0D" w:rsidP="004958D5">
    <w:pPr>
      <w:pStyle w:val="Pieddepage"/>
      <w:tabs>
        <w:tab w:val="clear" w:pos="4536"/>
        <w:tab w:val="clear" w:pos="9072"/>
        <w:tab w:val="center" w:pos="7938"/>
        <w:tab w:val="right" w:pos="15309"/>
      </w:tabs>
      <w:ind w:left="567"/>
      <w:rPr>
        <w:rFonts w:ascii="Arial" w:hAnsi="Arial" w:cs="Arial"/>
        <w:sz w:val="16"/>
      </w:rPr>
    </w:pPr>
    <w:bookmarkStart w:id="2" w:name="VDOCS8_750039"/>
    <w:r w:rsidRPr="00B37F0D">
      <w:rPr>
        <w:rFonts w:ascii="Arial" w:hAnsi="Arial" w:cs="Arial"/>
        <w:sz w:val="16"/>
        <w:effect w:val="antsRed"/>
      </w:rPr>
      <w:t>HPCI_W_FT_00361</w:t>
    </w:r>
    <w:bookmarkEnd w:id="2"/>
    <w:r w:rsidR="00D27155" w:rsidRPr="008035ED">
      <w:rPr>
        <w:rFonts w:ascii="Arial" w:hAnsi="Arial" w:cs="Arial"/>
        <w:sz w:val="16"/>
      </w:rPr>
      <w:tab/>
      <w:t xml:space="preserve">V. </w:t>
    </w:r>
    <w:bookmarkStart w:id="3" w:name="VDOCS9_15"/>
    <w:r w:rsidRPr="00B37F0D">
      <w:rPr>
        <w:rFonts w:ascii="Arial" w:hAnsi="Arial" w:cs="Arial"/>
        <w:sz w:val="16"/>
        <w:effect w:val="antsRed"/>
      </w:rPr>
      <w:t>1.0</w:t>
    </w:r>
    <w:bookmarkEnd w:id="3"/>
    <w:r w:rsidR="00D27155" w:rsidRPr="008035ED">
      <w:rPr>
        <w:rFonts w:ascii="Arial" w:hAnsi="Arial" w:cs="Arial"/>
        <w:sz w:val="16"/>
      </w:rPr>
      <w:t xml:space="preserve"> du </w:t>
    </w:r>
    <w:bookmarkStart w:id="4" w:name="VDOCS16_18"/>
    <w:r w:rsidRPr="00B37F0D">
      <w:rPr>
        <w:rFonts w:ascii="Arial" w:hAnsi="Arial" w:cs="Arial"/>
        <w:sz w:val="16"/>
        <w:effect w:val="antsRed"/>
      </w:rPr>
      <w:t>07/03/2016</w:t>
    </w:r>
    <w:bookmarkEnd w:id="4"/>
    <w:r w:rsidR="00D27155" w:rsidRPr="008035ED">
      <w:rPr>
        <w:rFonts w:ascii="Arial" w:hAnsi="Arial" w:cs="Arial"/>
        <w:sz w:val="16"/>
      </w:rPr>
      <w:t xml:space="preserve"> </w:t>
    </w:r>
    <w:r w:rsidR="003F59D5" w:rsidRPr="008035ED">
      <w:rPr>
        <w:rFonts w:ascii="Arial" w:hAnsi="Arial" w:cs="Arial"/>
        <w:sz w:val="16"/>
      </w:rPr>
      <w:t xml:space="preserve"> </w:t>
    </w:r>
    <w:r w:rsidR="00D27155" w:rsidRPr="008035ED">
      <w:rPr>
        <w:rFonts w:ascii="Arial" w:hAnsi="Arial" w:cs="Arial"/>
        <w:sz w:val="16"/>
      </w:rPr>
      <w:tab/>
      <w:t xml:space="preserve">Page </w:t>
    </w:r>
    <w:r w:rsidR="00FE45C4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PAGE </w:instrText>
    </w:r>
    <w:r w:rsidR="00FE45C4" w:rsidRPr="008035ED">
      <w:rPr>
        <w:rFonts w:ascii="Arial" w:hAnsi="Arial" w:cs="Arial"/>
        <w:sz w:val="16"/>
      </w:rPr>
      <w:fldChar w:fldCharType="separate"/>
    </w:r>
    <w:r w:rsidR="00E17861">
      <w:rPr>
        <w:rFonts w:ascii="Arial" w:hAnsi="Arial" w:cs="Arial"/>
        <w:noProof/>
        <w:sz w:val="16"/>
      </w:rPr>
      <w:t>2</w:t>
    </w:r>
    <w:r w:rsidR="00FE45C4" w:rsidRPr="008035ED">
      <w:rPr>
        <w:rFonts w:ascii="Arial" w:hAnsi="Arial" w:cs="Arial"/>
        <w:sz w:val="16"/>
      </w:rPr>
      <w:fldChar w:fldCharType="end"/>
    </w:r>
    <w:r w:rsidR="00D27155" w:rsidRPr="008035ED">
      <w:rPr>
        <w:rFonts w:ascii="Arial" w:hAnsi="Arial" w:cs="Arial"/>
        <w:sz w:val="16"/>
      </w:rPr>
      <w:t xml:space="preserve"> / </w:t>
    </w:r>
    <w:r w:rsidR="00FE45C4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NUMPAGES </w:instrText>
    </w:r>
    <w:r w:rsidR="00FE45C4" w:rsidRPr="008035ED">
      <w:rPr>
        <w:rFonts w:ascii="Arial" w:hAnsi="Arial" w:cs="Arial"/>
        <w:sz w:val="16"/>
      </w:rPr>
      <w:fldChar w:fldCharType="separate"/>
    </w:r>
    <w:r w:rsidR="00E17861">
      <w:rPr>
        <w:rFonts w:ascii="Arial" w:hAnsi="Arial" w:cs="Arial"/>
        <w:noProof/>
        <w:sz w:val="16"/>
      </w:rPr>
      <w:t>2</w:t>
    </w:r>
    <w:r w:rsidR="00FE45C4" w:rsidRPr="008035ED">
      <w:rPr>
        <w:rFonts w:ascii="Arial" w:hAnsi="Arial" w:cs="Arial"/>
        <w:sz w:val="16"/>
      </w:rPr>
      <w:fldChar w:fldCharType="end"/>
    </w:r>
  </w:p>
  <w:p w:rsidR="00D27155" w:rsidRPr="008035ED" w:rsidRDefault="00E17861" w:rsidP="005A77F9">
    <w:pPr>
      <w:pStyle w:val="Pieddepage"/>
      <w:rPr>
        <w:sz w:val="16"/>
      </w:rPr>
    </w:pP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484505</wp:posOffset>
          </wp:positionH>
          <wp:positionV relativeFrom="page">
            <wp:posOffset>9803130</wp:posOffset>
          </wp:positionV>
          <wp:extent cx="170815" cy="539115"/>
          <wp:effectExtent l="19050" t="0" r="635" b="0"/>
          <wp:wrapNone/>
          <wp:docPr id="22" name="Image 22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55" w:rsidRPr="008035ED" w:rsidRDefault="00E17861" w:rsidP="004958D5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7938"/>
        <w:tab w:val="right" w:pos="15309"/>
      </w:tabs>
      <w:ind w:left="567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462280</wp:posOffset>
          </wp:positionH>
          <wp:positionV relativeFrom="page">
            <wp:posOffset>6598285</wp:posOffset>
          </wp:positionV>
          <wp:extent cx="170815" cy="539115"/>
          <wp:effectExtent l="19050" t="0" r="635" b="0"/>
          <wp:wrapNone/>
          <wp:docPr id="27" name="Image 27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5" w:name="VDOCS18_5"/>
    <w:r w:rsidR="00B37F0D" w:rsidRPr="00B37F0D">
      <w:rPr>
        <w:rFonts w:ascii="Arial" w:hAnsi="Arial" w:cs="Arial"/>
        <w:sz w:val="16"/>
        <w:effect w:val="antsRed"/>
      </w:rPr>
      <w:t>HPCI_W_FT_00361</w:t>
    </w:r>
    <w:bookmarkEnd w:id="5"/>
    <w:r w:rsidR="00A141EB">
      <w:rPr>
        <w:rFonts w:ascii="Arial" w:hAnsi="Arial" w:cs="Arial"/>
        <w:sz w:val="16"/>
      </w:rPr>
      <w:t xml:space="preserve">  </w:t>
    </w:r>
    <w:r w:rsidR="00D27155" w:rsidRPr="008035ED">
      <w:rPr>
        <w:rFonts w:ascii="Arial" w:hAnsi="Arial" w:cs="Arial"/>
        <w:sz w:val="16"/>
      </w:rPr>
      <w:t xml:space="preserve"> </w:t>
    </w:r>
    <w:r w:rsidR="00D27155" w:rsidRPr="008035ED">
      <w:rPr>
        <w:rFonts w:ascii="Arial" w:hAnsi="Arial" w:cs="Arial"/>
        <w:sz w:val="16"/>
      </w:rPr>
      <w:tab/>
      <w:t>V</w:t>
    </w:r>
    <w:r w:rsidR="003867EF">
      <w:rPr>
        <w:rFonts w:ascii="Arial" w:hAnsi="Arial" w:cs="Arial"/>
        <w:sz w:val="16"/>
      </w:rPr>
      <w:t xml:space="preserve">.  </w:t>
    </w:r>
    <w:bookmarkStart w:id="6" w:name="VDOCS19_15"/>
    <w:r w:rsidR="00B37F0D" w:rsidRPr="00B37F0D">
      <w:rPr>
        <w:rFonts w:ascii="Arial" w:hAnsi="Arial" w:cs="Arial"/>
        <w:sz w:val="16"/>
        <w:effect w:val="antsRed"/>
      </w:rPr>
      <w:t>1.0</w:t>
    </w:r>
    <w:bookmarkEnd w:id="6"/>
    <w:r w:rsidR="003867EF">
      <w:rPr>
        <w:rFonts w:ascii="Arial" w:hAnsi="Arial" w:cs="Arial"/>
        <w:sz w:val="16"/>
      </w:rPr>
      <w:t xml:space="preserve">  </w:t>
    </w:r>
    <w:r w:rsidR="00D27155" w:rsidRPr="008035ED">
      <w:rPr>
        <w:rFonts w:ascii="Arial" w:hAnsi="Arial" w:cs="Arial"/>
        <w:sz w:val="16"/>
      </w:rPr>
      <w:t>d</w:t>
    </w:r>
    <w:r w:rsidR="003F59D5" w:rsidRPr="008035ED">
      <w:rPr>
        <w:rFonts w:ascii="Arial" w:hAnsi="Arial" w:cs="Arial"/>
        <w:sz w:val="16"/>
      </w:rPr>
      <w:t xml:space="preserve">u </w:t>
    </w:r>
    <w:bookmarkStart w:id="7" w:name="VDOCS15_18"/>
    <w:r w:rsidR="00B37F0D" w:rsidRPr="00B37F0D">
      <w:rPr>
        <w:rFonts w:ascii="Arial" w:hAnsi="Arial" w:cs="Arial"/>
        <w:sz w:val="16"/>
        <w:effect w:val="antsRed"/>
      </w:rPr>
      <w:t>07/03/2016</w:t>
    </w:r>
    <w:bookmarkEnd w:id="7"/>
    <w:r w:rsidR="00D27155" w:rsidRPr="008035ED">
      <w:rPr>
        <w:rFonts w:ascii="Arial" w:hAnsi="Arial" w:cs="Arial"/>
        <w:sz w:val="16"/>
      </w:rPr>
      <w:tab/>
      <w:t xml:space="preserve">Page </w:t>
    </w:r>
    <w:r w:rsidR="00FE45C4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PAGE </w:instrText>
    </w:r>
    <w:r w:rsidR="00FE45C4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FE45C4" w:rsidRPr="008035ED">
      <w:rPr>
        <w:rFonts w:ascii="Arial" w:hAnsi="Arial" w:cs="Arial"/>
        <w:sz w:val="16"/>
      </w:rPr>
      <w:fldChar w:fldCharType="end"/>
    </w:r>
    <w:r w:rsidR="00D27155" w:rsidRPr="008035ED">
      <w:rPr>
        <w:rFonts w:ascii="Arial" w:hAnsi="Arial" w:cs="Arial"/>
        <w:sz w:val="16"/>
      </w:rPr>
      <w:t xml:space="preserve"> / </w:t>
    </w:r>
    <w:r w:rsidR="00FE45C4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NUMPAGES </w:instrText>
    </w:r>
    <w:r w:rsidR="00FE45C4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FE45C4" w:rsidRPr="008035ED">
      <w:rPr>
        <w:rFonts w:ascii="Arial" w:hAnsi="Arial" w:cs="Arial"/>
        <w:sz w:val="16"/>
      </w:rPr>
      <w:fldChar w:fldCharType="end"/>
    </w:r>
  </w:p>
  <w:p w:rsidR="00D27155" w:rsidRPr="00C65012" w:rsidRDefault="00D27155" w:rsidP="004958D5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09" w:rsidRDefault="00785509" w:rsidP="0020717B">
      <w:pPr>
        <w:spacing w:after="0" w:line="240" w:lineRule="auto"/>
      </w:pPr>
      <w:r>
        <w:separator/>
      </w:r>
    </w:p>
  </w:footnote>
  <w:footnote w:type="continuationSeparator" w:id="0">
    <w:p w:rsidR="00785509" w:rsidRDefault="00785509" w:rsidP="0020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40"/>
      <w:gridCol w:w="7496"/>
      <w:gridCol w:w="3611"/>
    </w:tblGrid>
    <w:tr w:rsidR="00BD10A1" w:rsidRPr="00006372" w:rsidTr="00810E14">
      <w:trPr>
        <w:trHeight w:val="454"/>
      </w:trPr>
      <w:tc>
        <w:tcPr>
          <w:tcW w:w="3940" w:type="dxa"/>
          <w:tcBorders>
            <w:left w:val="nil"/>
            <w:right w:val="single" w:sz="4" w:space="0" w:color="auto"/>
          </w:tcBorders>
        </w:tcPr>
        <w:p w:rsidR="00BD10A1" w:rsidRPr="00006372" w:rsidRDefault="00E17861" w:rsidP="00B1166E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328545" cy="361315"/>
                <wp:effectExtent l="1905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854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6" w:type="dxa"/>
          <w:tcBorders>
            <w:left w:val="single" w:sz="4" w:space="0" w:color="auto"/>
            <w:right w:val="nil"/>
          </w:tcBorders>
          <w:vAlign w:val="bottom"/>
        </w:tcPr>
        <w:p w:rsidR="00BD10A1" w:rsidRPr="001D3F17" w:rsidRDefault="00BD10A1" w:rsidP="00B1166E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611" w:type="dxa"/>
          <w:tcBorders>
            <w:left w:val="nil"/>
          </w:tcBorders>
        </w:tcPr>
        <w:p w:rsidR="00BD10A1" w:rsidRPr="00006372" w:rsidRDefault="00BD10A1" w:rsidP="00647CC0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BD10A1" w:rsidRPr="00C65012" w:rsidRDefault="00BD10A1" w:rsidP="00BD10A1">
    <w:pPr>
      <w:pStyle w:val="En-tte"/>
      <w:pBdr>
        <w:bottom w:val="single" w:sz="4" w:space="1" w:color="auto"/>
      </w:pBdr>
      <w:rPr>
        <w:rFonts w:ascii="Arial" w:hAnsi="Arial" w:cs="Arial"/>
        <w:sz w:val="8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SYSIDTEMPLATE" w:val="900890"/>
    <w:docVar w:name="SYSIDVERSION" w:val="946788"/>
    <w:docVar w:name="SYSPASSWORD" w:val="0"/>
    <w:docVar w:name="SYSTABNUM" w:val="20"/>
  </w:docVars>
  <w:rsids>
    <w:rsidRoot w:val="00927434"/>
    <w:rsid w:val="00016135"/>
    <w:rsid w:val="00035196"/>
    <w:rsid w:val="000F7402"/>
    <w:rsid w:val="00100978"/>
    <w:rsid w:val="00120200"/>
    <w:rsid w:val="00192308"/>
    <w:rsid w:val="001E69AF"/>
    <w:rsid w:val="0020717B"/>
    <w:rsid w:val="00220774"/>
    <w:rsid w:val="002320D4"/>
    <w:rsid w:val="002760BE"/>
    <w:rsid w:val="00293D69"/>
    <w:rsid w:val="00304781"/>
    <w:rsid w:val="00317B8A"/>
    <w:rsid w:val="003867EF"/>
    <w:rsid w:val="003964A6"/>
    <w:rsid w:val="003B45FF"/>
    <w:rsid w:val="003D4B78"/>
    <w:rsid w:val="003F59D5"/>
    <w:rsid w:val="00400695"/>
    <w:rsid w:val="004958D5"/>
    <w:rsid w:val="004F5E3A"/>
    <w:rsid w:val="005A77F9"/>
    <w:rsid w:val="0062173F"/>
    <w:rsid w:val="00621A5A"/>
    <w:rsid w:val="00647CC0"/>
    <w:rsid w:val="00655D91"/>
    <w:rsid w:val="00691C39"/>
    <w:rsid w:val="006F2C95"/>
    <w:rsid w:val="006F6E32"/>
    <w:rsid w:val="007742BC"/>
    <w:rsid w:val="00785509"/>
    <w:rsid w:val="007B7E06"/>
    <w:rsid w:val="007E79CD"/>
    <w:rsid w:val="00801033"/>
    <w:rsid w:val="008035ED"/>
    <w:rsid w:val="00810E14"/>
    <w:rsid w:val="00826FC4"/>
    <w:rsid w:val="0084771B"/>
    <w:rsid w:val="00927434"/>
    <w:rsid w:val="009B0F70"/>
    <w:rsid w:val="009B7980"/>
    <w:rsid w:val="009D79FB"/>
    <w:rsid w:val="00A141EB"/>
    <w:rsid w:val="00A26A5E"/>
    <w:rsid w:val="00A56FFD"/>
    <w:rsid w:val="00A648AC"/>
    <w:rsid w:val="00AB608B"/>
    <w:rsid w:val="00B0685A"/>
    <w:rsid w:val="00B1166E"/>
    <w:rsid w:val="00B37F0D"/>
    <w:rsid w:val="00B74B88"/>
    <w:rsid w:val="00B8458A"/>
    <w:rsid w:val="00BD10A1"/>
    <w:rsid w:val="00BF2428"/>
    <w:rsid w:val="00C3011A"/>
    <w:rsid w:val="00C65012"/>
    <w:rsid w:val="00C816CD"/>
    <w:rsid w:val="00CC07FA"/>
    <w:rsid w:val="00CF49E0"/>
    <w:rsid w:val="00D27155"/>
    <w:rsid w:val="00D4479A"/>
    <w:rsid w:val="00DA3D2F"/>
    <w:rsid w:val="00DB0FB0"/>
    <w:rsid w:val="00E17861"/>
    <w:rsid w:val="00E3151F"/>
    <w:rsid w:val="00E50768"/>
    <w:rsid w:val="00E6077C"/>
    <w:rsid w:val="00E718C0"/>
    <w:rsid w:val="00E772D0"/>
    <w:rsid w:val="00EC5FC7"/>
    <w:rsid w:val="00EE4D50"/>
    <w:rsid w:val="00F16C87"/>
    <w:rsid w:val="00FA75C5"/>
    <w:rsid w:val="00FE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A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7B"/>
  </w:style>
  <w:style w:type="paragraph" w:styleId="Pieddepage">
    <w:name w:val="footer"/>
    <w:basedOn w:val="Normal"/>
    <w:link w:val="PieddepageCar"/>
    <w:uiPriority w:val="99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17B"/>
  </w:style>
  <w:style w:type="paragraph" w:styleId="Textedebulles">
    <w:name w:val="Balloon Text"/>
    <w:basedOn w:val="Normal"/>
    <w:link w:val="TextedebullesCar"/>
    <w:uiPriority w:val="99"/>
    <w:semiHidden/>
    <w:unhideWhenUsed/>
    <w:rsid w:val="0020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17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6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F6E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wissnoso.ch/wp-content/uploads/pdf/v20_1_fr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052D-FBB9-4E46-B020-58F41652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Petignat Christiane (HOS42905)</cp:lastModifiedBy>
  <cp:revision>2</cp:revision>
  <cp:lastPrinted>2014-09-05T08:02:00Z</cp:lastPrinted>
  <dcterms:created xsi:type="dcterms:W3CDTF">2016-09-08T14:09:00Z</dcterms:created>
  <dcterms:modified xsi:type="dcterms:W3CDTF">2016-09-08T14:09:00Z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946788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08/09/2016</vt:lpwstr>
  </property>
  <property fmtid="{D5CDD505-2E9C-101B-9397-08002B2CF9AE}" pid="12" name="VERSION">
    <vt:lpwstr>1.0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10/02/2016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07/03/2016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07/03/2016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07/03/2016</vt:lpwstr>
  </property>
  <property fmtid="{D5CDD505-2E9C-101B-9397-08002B2CF9AE}" pid="25" name="IDFILE">
    <vt:lpwstr>1139620</vt:lpwstr>
  </property>
  <property fmtid="{D5CDD505-2E9C-101B-9397-08002B2CF9AE}" pid="26" name="CHECKSUM">
    <vt:lpwstr>-1146178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HPCI_W_FT_00361</vt:lpwstr>
  </property>
  <property fmtid="{D5CDD505-2E9C-101B-9397-08002B2CF9AE}" pid="30" name="TITLE">
    <vt:lpwstr>BOP: Antibioprophylaxie en chirurgie urologique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FT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