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82" w:rsidRPr="00AF7882" w:rsidRDefault="00AF7882" w:rsidP="00AF7882">
      <w:pPr>
        <w:spacing w:after="200" w:line="276" w:lineRule="auto"/>
        <w:jc w:val="center"/>
        <w:rPr>
          <w:rFonts w:eastAsia="Calibri" w:cs="Arial"/>
          <w:b/>
          <w:sz w:val="22"/>
          <w:szCs w:val="22"/>
          <w:lang w:val="fr-CH" w:eastAsia="en-US"/>
        </w:rPr>
      </w:pPr>
      <w:r w:rsidRPr="00AF7882">
        <w:rPr>
          <w:rFonts w:eastAsia="Calibri" w:cs="Arial"/>
          <w:b/>
          <w:sz w:val="22"/>
          <w:szCs w:val="22"/>
          <w:lang w:val="fr-CH" w:eastAsia="en-US"/>
        </w:rPr>
        <w:t>ROUGEOLE- PRISE EN CHARGE SPECIFIQUE A L’HEL</w:t>
      </w:r>
    </w:p>
    <w:p w:rsidR="00AF7882" w:rsidRPr="00AF7882" w:rsidRDefault="00AF7882" w:rsidP="008C1971">
      <w:pPr>
        <w:numPr>
          <w:ilvl w:val="0"/>
          <w:numId w:val="3"/>
        </w:numPr>
        <w:spacing w:after="200" w:line="276" w:lineRule="auto"/>
        <w:ind w:left="426"/>
        <w:contextualSpacing/>
        <w:jc w:val="both"/>
        <w:rPr>
          <w:rFonts w:eastAsia="Calibri" w:cs="Arial"/>
          <w:b/>
          <w:sz w:val="22"/>
          <w:szCs w:val="22"/>
          <w:lang w:val="fr-CH" w:eastAsia="en-US"/>
        </w:rPr>
      </w:pPr>
      <w:r w:rsidRPr="00AF7882">
        <w:rPr>
          <w:rFonts w:eastAsia="Calibri" w:cs="Arial"/>
          <w:b/>
          <w:sz w:val="22"/>
          <w:szCs w:val="22"/>
          <w:lang w:val="fr-CH" w:eastAsia="en-US"/>
        </w:rPr>
        <w:t>OBJET</w:t>
      </w:r>
    </w:p>
    <w:p w:rsidR="00AF7882" w:rsidRPr="00AF7882" w:rsidRDefault="00AF7882" w:rsidP="00F70370">
      <w:pPr>
        <w:spacing w:after="60" w:line="276" w:lineRule="auto"/>
        <w:ind w:left="425"/>
        <w:jc w:val="both"/>
        <w:rPr>
          <w:rFonts w:eastAsia="Calibri" w:cs="Arial"/>
          <w:sz w:val="22"/>
          <w:szCs w:val="22"/>
          <w:lang w:val="fr-CH" w:eastAsia="en-US"/>
        </w:rPr>
      </w:pPr>
      <w:r w:rsidRPr="00AF7882">
        <w:rPr>
          <w:rFonts w:eastAsia="Calibri" w:cs="Arial"/>
          <w:sz w:val="22"/>
          <w:szCs w:val="22"/>
          <w:lang w:val="fr-CH" w:eastAsia="en-US"/>
        </w:rPr>
        <w:t xml:space="preserve">Le virus de la Rougeole appartient à la famille des Paramyxovirus, genre </w:t>
      </w:r>
      <w:proofErr w:type="spellStart"/>
      <w:r w:rsidRPr="00AF7882">
        <w:rPr>
          <w:rFonts w:eastAsia="Calibri" w:cs="Arial"/>
          <w:sz w:val="22"/>
          <w:szCs w:val="22"/>
          <w:lang w:val="fr-CH" w:eastAsia="en-US"/>
        </w:rPr>
        <w:t>Morbillivirus</w:t>
      </w:r>
      <w:proofErr w:type="spellEnd"/>
      <w:r w:rsidRPr="00AF7882">
        <w:rPr>
          <w:rFonts w:eastAsia="Calibri" w:cs="Arial"/>
          <w:sz w:val="22"/>
          <w:szCs w:val="22"/>
          <w:lang w:val="fr-CH" w:eastAsia="en-US"/>
        </w:rPr>
        <w:t xml:space="preserve">). La transmission se fait le plus fréquemment entre les sujets exposés via les sécrétions respiratoires par de très fines gouttelettes </w:t>
      </w:r>
      <w:r w:rsidRPr="00AF7882">
        <w:rPr>
          <w:rFonts w:eastAsia="Calibri" w:cs="Arial"/>
          <w:b/>
          <w:sz w:val="22"/>
          <w:szCs w:val="22"/>
          <w:lang w:val="fr-CH" w:eastAsia="en-US"/>
        </w:rPr>
        <w:t>(aérosol)</w:t>
      </w:r>
      <w:r w:rsidRPr="00AF7882">
        <w:rPr>
          <w:rFonts w:eastAsia="Calibri" w:cs="Arial"/>
          <w:sz w:val="22"/>
          <w:szCs w:val="22"/>
          <w:lang w:val="fr-CH" w:eastAsia="en-US"/>
        </w:rPr>
        <w:t xml:space="preserve">. </w:t>
      </w:r>
    </w:p>
    <w:p w:rsidR="00AF7882" w:rsidRPr="00AF7882" w:rsidRDefault="00AF7882" w:rsidP="00F70370">
      <w:pPr>
        <w:spacing w:after="60" w:line="276" w:lineRule="auto"/>
        <w:ind w:left="425"/>
        <w:jc w:val="both"/>
        <w:rPr>
          <w:rFonts w:eastAsia="Calibri" w:cs="Arial"/>
          <w:sz w:val="22"/>
          <w:szCs w:val="22"/>
          <w:lang w:val="fr-CH" w:eastAsia="en-US"/>
        </w:rPr>
      </w:pPr>
      <w:r w:rsidRPr="00AF7882">
        <w:rPr>
          <w:rFonts w:eastAsia="Calibri" w:cs="Arial"/>
          <w:sz w:val="22"/>
          <w:szCs w:val="22"/>
          <w:lang w:val="fr-CH" w:eastAsia="en-US"/>
        </w:rPr>
        <w:t>L’</w:t>
      </w:r>
      <w:proofErr w:type="spellStart"/>
      <w:r w:rsidRPr="00AF7882">
        <w:rPr>
          <w:rFonts w:eastAsia="Calibri" w:cs="Arial"/>
          <w:sz w:val="22"/>
          <w:szCs w:val="22"/>
          <w:lang w:val="fr-CH" w:eastAsia="en-US"/>
        </w:rPr>
        <w:t>infectiosité</w:t>
      </w:r>
      <w:proofErr w:type="spellEnd"/>
      <w:r w:rsidRPr="00AF7882">
        <w:rPr>
          <w:rFonts w:eastAsia="Calibri" w:cs="Arial"/>
          <w:sz w:val="22"/>
          <w:szCs w:val="22"/>
          <w:lang w:val="fr-CH" w:eastAsia="en-US"/>
        </w:rPr>
        <w:t xml:space="preserve"> se fait 1 jour avant le début des symptômes (fièvre, toux) jusqu’à 4 jours après le début de l’exanthème. </w:t>
      </w:r>
    </w:p>
    <w:p w:rsidR="00AF7882" w:rsidRPr="00AF7882" w:rsidRDefault="00AF7882" w:rsidP="00F70370">
      <w:pPr>
        <w:spacing w:after="60" w:line="276" w:lineRule="auto"/>
        <w:ind w:left="425"/>
        <w:jc w:val="both"/>
        <w:rPr>
          <w:rFonts w:eastAsia="Calibri" w:cs="Arial"/>
          <w:sz w:val="22"/>
          <w:szCs w:val="22"/>
          <w:lang w:val="fr-CH" w:eastAsia="en-US"/>
        </w:rPr>
      </w:pPr>
      <w:r w:rsidRPr="00AF7882">
        <w:rPr>
          <w:rFonts w:eastAsia="Calibri" w:cs="Arial"/>
          <w:sz w:val="22"/>
          <w:szCs w:val="22"/>
          <w:lang w:val="fr-CH" w:eastAsia="en-US"/>
        </w:rPr>
        <w:t xml:space="preserve">Pour procéder à l’enquête d’entourage considérer le jour d’apparition de l’exanthème et lister les personnes exposées non immunes durant la période allant de – 4 jours à +4 jours. </w:t>
      </w:r>
    </w:p>
    <w:p w:rsidR="00AF7882" w:rsidRPr="00AF7882" w:rsidRDefault="00AF7882" w:rsidP="00F70370">
      <w:pPr>
        <w:spacing w:after="60" w:line="276" w:lineRule="auto"/>
        <w:ind w:left="426"/>
        <w:jc w:val="both"/>
        <w:rPr>
          <w:rFonts w:eastAsia="Calibri" w:cs="Arial"/>
          <w:color w:val="003366"/>
          <w:sz w:val="22"/>
          <w:szCs w:val="22"/>
          <w:lang w:val="fr-CH" w:eastAsia="en-US"/>
        </w:rPr>
      </w:pPr>
      <w:r w:rsidRPr="00AF7882">
        <w:rPr>
          <w:rFonts w:eastAsia="Calibri" w:cs="Arial"/>
          <w:sz w:val="22"/>
          <w:szCs w:val="22"/>
          <w:lang w:val="fr-CH" w:eastAsia="en-US"/>
        </w:rPr>
        <w:t>De manière générale, le personnel de soins et le personnel médical de l’HEL doivent être immuns (vaccin ROR ≥ 2 doses ou sérologie positive)</w:t>
      </w:r>
      <w:r w:rsidRPr="00AF7882">
        <w:rPr>
          <w:rFonts w:eastAsia="Calibri" w:cs="Arial"/>
          <w:color w:val="003366"/>
          <w:sz w:val="22"/>
          <w:szCs w:val="22"/>
          <w:lang w:val="fr-CH" w:eastAsia="en-US"/>
        </w:rPr>
        <w:t xml:space="preserve">. </w:t>
      </w:r>
    </w:p>
    <w:p w:rsidR="00AF7882" w:rsidRPr="00AF7882" w:rsidRDefault="00AF7882" w:rsidP="00F54505">
      <w:pPr>
        <w:spacing w:after="200" w:line="276" w:lineRule="auto"/>
        <w:ind w:left="426"/>
        <w:jc w:val="both"/>
        <w:rPr>
          <w:rFonts w:eastAsia="Calibri" w:cs="Arial"/>
          <w:b/>
          <w:sz w:val="22"/>
          <w:szCs w:val="22"/>
          <w:lang w:val="fr-CH" w:eastAsia="en-US"/>
        </w:rPr>
      </w:pPr>
      <w:r w:rsidRPr="00AF7882">
        <w:rPr>
          <w:rFonts w:eastAsia="Calibri" w:cs="Arial"/>
          <w:sz w:val="22"/>
          <w:szCs w:val="22"/>
          <w:u w:val="single"/>
          <w:lang w:val="fr-CH" w:eastAsia="en-US"/>
        </w:rPr>
        <w:t>En cas de non immunité</w:t>
      </w:r>
      <w:r w:rsidRPr="00AF7882">
        <w:rPr>
          <w:rFonts w:eastAsia="Calibri" w:cs="Arial"/>
          <w:sz w:val="22"/>
          <w:szCs w:val="22"/>
          <w:lang w:val="fr-CH" w:eastAsia="en-US"/>
        </w:rPr>
        <w:t>, éviter toute exposition à des patients présentant une rougeole</w:t>
      </w:r>
      <w:r w:rsidRPr="00AF7882">
        <w:rPr>
          <w:rFonts w:eastAsia="Calibri" w:cs="Arial"/>
          <w:color w:val="003366"/>
          <w:sz w:val="22"/>
          <w:szCs w:val="22"/>
          <w:lang w:val="fr-CH" w:eastAsia="en-US"/>
        </w:rPr>
        <w:t>.</w:t>
      </w:r>
    </w:p>
    <w:p w:rsidR="00AF7882" w:rsidRPr="00AF7882" w:rsidRDefault="00AF7882" w:rsidP="00F54505">
      <w:pPr>
        <w:numPr>
          <w:ilvl w:val="0"/>
          <w:numId w:val="3"/>
        </w:numPr>
        <w:spacing w:after="200" w:line="276" w:lineRule="auto"/>
        <w:ind w:left="426"/>
        <w:contextualSpacing/>
        <w:jc w:val="both"/>
        <w:rPr>
          <w:rFonts w:eastAsia="Calibri" w:cs="Arial"/>
          <w:b/>
          <w:sz w:val="22"/>
          <w:szCs w:val="22"/>
          <w:lang w:val="fr-CH" w:eastAsia="en-US"/>
        </w:rPr>
      </w:pPr>
      <w:r w:rsidRPr="00AF7882">
        <w:rPr>
          <w:rFonts w:eastAsia="Calibri" w:cs="Arial"/>
          <w:b/>
          <w:sz w:val="22"/>
          <w:szCs w:val="22"/>
          <w:lang w:val="fr-CH" w:eastAsia="en-US"/>
        </w:rPr>
        <w:t>DOMAINE D’APPLICATION</w:t>
      </w:r>
    </w:p>
    <w:p w:rsidR="00AF7882" w:rsidRPr="00AF7882" w:rsidRDefault="00AF7882" w:rsidP="00F54505">
      <w:pPr>
        <w:spacing w:after="200" w:line="276" w:lineRule="auto"/>
        <w:ind w:left="426"/>
        <w:jc w:val="both"/>
        <w:rPr>
          <w:rFonts w:eastAsia="Calibri" w:cs="Arial"/>
          <w:sz w:val="22"/>
          <w:szCs w:val="22"/>
          <w:lang w:val="fr-CH" w:eastAsia="en-US"/>
        </w:rPr>
      </w:pPr>
      <w:r w:rsidRPr="00AF7882">
        <w:rPr>
          <w:rFonts w:eastAsia="Calibri" w:cs="Arial"/>
          <w:sz w:val="22"/>
          <w:szCs w:val="22"/>
          <w:lang w:val="fr-CH" w:eastAsia="en-US"/>
        </w:rPr>
        <w:t>Patients pris en charge à l’HEL.</w:t>
      </w:r>
    </w:p>
    <w:p w:rsidR="00AF7882" w:rsidRPr="00AF7882" w:rsidRDefault="00AF7882" w:rsidP="00F54505">
      <w:pPr>
        <w:numPr>
          <w:ilvl w:val="0"/>
          <w:numId w:val="3"/>
        </w:numPr>
        <w:spacing w:after="200" w:line="276" w:lineRule="auto"/>
        <w:ind w:left="426"/>
        <w:contextualSpacing/>
        <w:jc w:val="both"/>
        <w:rPr>
          <w:rFonts w:eastAsia="Calibri" w:cs="Arial"/>
          <w:b/>
          <w:sz w:val="22"/>
          <w:szCs w:val="22"/>
          <w:lang w:val="fr-CH" w:eastAsia="en-US"/>
        </w:rPr>
      </w:pPr>
      <w:r w:rsidRPr="00AF7882">
        <w:rPr>
          <w:rFonts w:eastAsia="Calibri" w:cs="Arial"/>
          <w:b/>
          <w:sz w:val="22"/>
          <w:szCs w:val="22"/>
          <w:lang w:val="fr-CH" w:eastAsia="en-US"/>
        </w:rPr>
        <w:t>DEFINITIONS ET TERMINOLOGIE</w:t>
      </w:r>
    </w:p>
    <w:tbl>
      <w:tblPr>
        <w:tblStyle w:val="Grilledutableau1"/>
        <w:tblW w:w="0" w:type="auto"/>
        <w:tblInd w:w="675" w:type="dxa"/>
        <w:tblLook w:val="04A0"/>
      </w:tblPr>
      <w:tblGrid>
        <w:gridCol w:w="1790"/>
        <w:gridCol w:w="6821"/>
      </w:tblGrid>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MAA</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Mesures Additionnelles aérosol = isolement</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PS</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Précautions Standard</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ICS</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 xml:space="preserve">Infirmier(ère) </w:t>
            </w:r>
            <w:proofErr w:type="gramStart"/>
            <w:r w:rsidRPr="00AF7882">
              <w:rPr>
                <w:rFonts w:cs="Arial"/>
                <w:lang w:val="fr-CH" w:eastAsia="en-US"/>
              </w:rPr>
              <w:t>chef(</w:t>
            </w:r>
            <w:proofErr w:type="spellStart"/>
            <w:proofErr w:type="gramEnd"/>
            <w:r w:rsidRPr="00AF7882">
              <w:rPr>
                <w:rFonts w:cs="Arial"/>
                <w:lang w:val="fr-CH" w:eastAsia="en-US"/>
              </w:rPr>
              <w:t>fe</w:t>
            </w:r>
            <w:proofErr w:type="spellEnd"/>
            <w:r w:rsidRPr="00AF7882">
              <w:rPr>
                <w:rFonts w:cs="Arial"/>
                <w:lang w:val="fr-CH" w:eastAsia="en-US"/>
              </w:rPr>
              <w:t>) de service</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ICUS</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 xml:space="preserve">Infirmier(ère) </w:t>
            </w:r>
            <w:proofErr w:type="gramStart"/>
            <w:r w:rsidRPr="00AF7882">
              <w:rPr>
                <w:rFonts w:cs="Arial"/>
                <w:lang w:val="fr-CH" w:eastAsia="en-US"/>
              </w:rPr>
              <w:t>chef(</w:t>
            </w:r>
            <w:proofErr w:type="spellStart"/>
            <w:proofErr w:type="gramEnd"/>
            <w:r w:rsidRPr="00AF7882">
              <w:rPr>
                <w:rFonts w:cs="Arial"/>
                <w:lang w:val="fr-CH" w:eastAsia="en-US"/>
              </w:rPr>
              <w:t>fe</w:t>
            </w:r>
            <w:proofErr w:type="spellEnd"/>
            <w:r w:rsidRPr="00AF7882">
              <w:rPr>
                <w:rFonts w:cs="Arial"/>
                <w:lang w:val="fr-CH" w:eastAsia="en-US"/>
              </w:rPr>
              <w:t>) d’unité de soins</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HPCI</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Hygiène, prévention et contrôle de l’infection</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SMPH</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Service de médecine préventive hospitalière</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HEL</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Hôpital de l’enfance de Lausanne</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DMCP</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Département médico-chirurgicale de Pédiatrie</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ROR</w:t>
            </w:r>
          </w:p>
        </w:tc>
        <w:tc>
          <w:tcPr>
            <w:tcW w:w="6821"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Vaccin contre la Rougeole-Oreillons-Rubéole</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r w:rsidRPr="00AF7882">
              <w:rPr>
                <w:rFonts w:cs="Arial"/>
                <w:lang w:val="fr-CH" w:eastAsia="en-US"/>
              </w:rPr>
              <w:t>FFP2</w:t>
            </w:r>
          </w:p>
        </w:tc>
        <w:tc>
          <w:tcPr>
            <w:tcW w:w="6821" w:type="dxa"/>
          </w:tcPr>
          <w:p w:rsidR="00AF7882" w:rsidRPr="00AF7882" w:rsidRDefault="00AF7882" w:rsidP="006C3324">
            <w:pPr>
              <w:spacing w:after="20" w:line="276" w:lineRule="auto"/>
              <w:jc w:val="both"/>
              <w:rPr>
                <w:rFonts w:cs="Arial"/>
                <w:lang w:val="fr-CH" w:eastAsia="en-US"/>
              </w:rPr>
            </w:pPr>
            <w:proofErr w:type="spellStart"/>
            <w:r w:rsidRPr="00AF7882">
              <w:rPr>
                <w:rFonts w:cs="Arial"/>
                <w:lang w:eastAsia="en-US"/>
              </w:rPr>
              <w:t>Filtering</w:t>
            </w:r>
            <w:proofErr w:type="spellEnd"/>
            <w:r w:rsidRPr="00AF7882">
              <w:rPr>
                <w:rFonts w:cs="Arial"/>
                <w:lang w:eastAsia="en-US"/>
              </w:rPr>
              <w:t xml:space="preserve"> </w:t>
            </w:r>
            <w:proofErr w:type="spellStart"/>
            <w:r w:rsidRPr="00AF7882">
              <w:rPr>
                <w:rFonts w:cs="Arial"/>
                <w:lang w:eastAsia="en-US"/>
              </w:rPr>
              <w:t>Facepiece</w:t>
            </w:r>
            <w:proofErr w:type="spellEnd"/>
            <w:r w:rsidRPr="00AF7882">
              <w:rPr>
                <w:rFonts w:cs="Arial"/>
                <w:lang w:eastAsia="en-US"/>
              </w:rPr>
              <w:t xml:space="preserve"> </w:t>
            </w:r>
            <w:proofErr w:type="spellStart"/>
            <w:r w:rsidRPr="00AF7882">
              <w:rPr>
                <w:rFonts w:cs="Arial"/>
                <w:lang w:eastAsia="en-US"/>
              </w:rPr>
              <w:t>Particles</w:t>
            </w:r>
            <w:proofErr w:type="spellEnd"/>
            <w:r w:rsidRPr="00AF7882">
              <w:rPr>
                <w:rFonts w:cs="Arial"/>
                <w:lang w:eastAsia="en-US"/>
              </w:rPr>
              <w:t xml:space="preserve"> : masque </w:t>
            </w:r>
            <w:proofErr w:type="spellStart"/>
            <w:r w:rsidRPr="00AF7882">
              <w:rPr>
                <w:rFonts w:cs="Arial"/>
                <w:lang w:eastAsia="en-US"/>
              </w:rPr>
              <w:t>ultrafiltrant</w:t>
            </w:r>
            <w:proofErr w:type="spellEnd"/>
            <w:r w:rsidRPr="00AF7882">
              <w:rPr>
                <w:rFonts w:cs="Arial"/>
                <w:lang w:eastAsia="en-US"/>
              </w:rPr>
              <w:t xml:space="preserve"> d’aérosols</w:t>
            </w:r>
          </w:p>
        </w:tc>
      </w:tr>
      <w:tr w:rsidR="00AF7882" w:rsidRPr="00AF7882" w:rsidTr="001C0B7A">
        <w:tc>
          <w:tcPr>
            <w:tcW w:w="1790" w:type="dxa"/>
          </w:tcPr>
          <w:p w:rsidR="00AF7882" w:rsidRPr="00AF7882" w:rsidRDefault="00AF7882" w:rsidP="006C3324">
            <w:pPr>
              <w:spacing w:after="20" w:line="276" w:lineRule="auto"/>
              <w:jc w:val="both"/>
              <w:rPr>
                <w:rFonts w:cs="Arial"/>
                <w:lang w:val="fr-CH" w:eastAsia="en-US"/>
              </w:rPr>
            </w:pPr>
            <w:proofErr w:type="spellStart"/>
            <w:r w:rsidRPr="00AF7882">
              <w:rPr>
                <w:rFonts w:cs="Arial"/>
                <w:lang w:val="fr-CH" w:eastAsia="en-US"/>
              </w:rPr>
              <w:t>IgG</w:t>
            </w:r>
            <w:proofErr w:type="spellEnd"/>
          </w:p>
        </w:tc>
        <w:tc>
          <w:tcPr>
            <w:tcW w:w="6821" w:type="dxa"/>
          </w:tcPr>
          <w:p w:rsidR="00AF7882" w:rsidRPr="00AF7882" w:rsidRDefault="00AF7882" w:rsidP="006C3324">
            <w:pPr>
              <w:spacing w:after="20" w:line="276" w:lineRule="auto"/>
              <w:jc w:val="both"/>
              <w:rPr>
                <w:rFonts w:cs="Arial"/>
                <w:lang w:eastAsia="en-US"/>
              </w:rPr>
            </w:pPr>
            <w:r w:rsidRPr="00AF7882">
              <w:rPr>
                <w:rFonts w:cs="Arial"/>
                <w:lang w:eastAsia="en-US"/>
              </w:rPr>
              <w:t>Immunoglobulines de type G (principal type d’anticorps du sang)</w:t>
            </w:r>
          </w:p>
        </w:tc>
      </w:tr>
    </w:tbl>
    <w:p w:rsidR="00AF7882" w:rsidRPr="00AF7882" w:rsidRDefault="00AF7882" w:rsidP="00C27A7A">
      <w:pPr>
        <w:numPr>
          <w:ilvl w:val="0"/>
          <w:numId w:val="3"/>
        </w:numPr>
        <w:spacing w:before="240" w:after="60" w:line="276" w:lineRule="auto"/>
        <w:ind w:left="425" w:hanging="357"/>
        <w:jc w:val="both"/>
        <w:rPr>
          <w:rFonts w:eastAsia="Calibri" w:cs="Arial"/>
          <w:b/>
          <w:sz w:val="22"/>
          <w:szCs w:val="22"/>
          <w:lang w:val="fr-CH" w:eastAsia="en-US"/>
        </w:rPr>
      </w:pPr>
      <w:r w:rsidRPr="00AF7882">
        <w:rPr>
          <w:rFonts w:eastAsia="Calibri" w:cs="Arial"/>
          <w:b/>
          <w:sz w:val="22"/>
          <w:szCs w:val="22"/>
          <w:lang w:val="fr-CH" w:eastAsia="en-US"/>
        </w:rPr>
        <w:t>RESPONSABILITES</w:t>
      </w:r>
    </w:p>
    <w:p w:rsidR="00AF7882" w:rsidRPr="00AF7882" w:rsidRDefault="00AF7882" w:rsidP="00B45AAD">
      <w:pPr>
        <w:spacing w:after="200" w:line="276" w:lineRule="auto"/>
        <w:ind w:left="426"/>
        <w:jc w:val="both"/>
        <w:rPr>
          <w:rFonts w:eastAsia="Calibri" w:cs="Arial"/>
          <w:sz w:val="22"/>
          <w:szCs w:val="22"/>
          <w:lang w:val="fr-CH" w:eastAsia="en-US"/>
        </w:rPr>
      </w:pPr>
      <w:r w:rsidRPr="00AF7882">
        <w:rPr>
          <w:rFonts w:eastAsia="Calibri" w:cs="Arial"/>
          <w:sz w:val="22"/>
          <w:szCs w:val="22"/>
          <w:lang w:val="fr-CH" w:eastAsia="en-US"/>
        </w:rPr>
        <w:t>Médecins en charge du patient, ICS et ICUS, Infirmières HPCI du DMCP, médecins responsables HPCI.</w:t>
      </w:r>
    </w:p>
    <w:p w:rsidR="00AF7882" w:rsidRPr="00AF7882" w:rsidRDefault="00AF7882" w:rsidP="00795DF7">
      <w:pPr>
        <w:numPr>
          <w:ilvl w:val="0"/>
          <w:numId w:val="3"/>
        </w:numPr>
        <w:spacing w:after="60" w:line="276" w:lineRule="auto"/>
        <w:ind w:left="426"/>
        <w:jc w:val="both"/>
        <w:rPr>
          <w:rFonts w:eastAsia="Calibri" w:cs="Arial"/>
          <w:b/>
          <w:sz w:val="22"/>
          <w:szCs w:val="22"/>
          <w:lang w:val="fr-CH" w:eastAsia="en-US"/>
        </w:rPr>
      </w:pPr>
      <w:r w:rsidRPr="00AF7882">
        <w:rPr>
          <w:rFonts w:eastAsia="Calibri" w:cs="Arial"/>
          <w:b/>
          <w:sz w:val="22"/>
          <w:szCs w:val="22"/>
          <w:lang w:val="fr-CH" w:eastAsia="en-US"/>
        </w:rPr>
        <w:t>ATTITUDE PREVALENTE DANS L’UNITE D’HOSPITALISATION DE L’HEL</w:t>
      </w:r>
    </w:p>
    <w:p w:rsidR="00AF7882" w:rsidRPr="00AF7882" w:rsidRDefault="00AF7882" w:rsidP="00795DF7">
      <w:pPr>
        <w:numPr>
          <w:ilvl w:val="0"/>
          <w:numId w:val="12"/>
        </w:numPr>
        <w:tabs>
          <w:tab w:val="left" w:pos="6804"/>
          <w:tab w:val="left" w:pos="9639"/>
        </w:tabs>
        <w:overflowPunct w:val="0"/>
        <w:autoSpaceDE w:val="0"/>
        <w:autoSpaceDN w:val="0"/>
        <w:adjustRightInd w:val="0"/>
        <w:spacing w:after="60" w:line="276" w:lineRule="auto"/>
        <w:ind w:left="851" w:right="170" w:hanging="357"/>
        <w:jc w:val="both"/>
        <w:textAlignment w:val="baseline"/>
        <w:rPr>
          <w:rFonts w:eastAsia="Calibri" w:cs="Arial"/>
          <w:caps/>
          <w:sz w:val="22"/>
          <w:szCs w:val="22"/>
          <w:lang w:val="fr-CH" w:eastAsia="en-US"/>
        </w:rPr>
      </w:pPr>
      <w:r w:rsidRPr="00AF7882">
        <w:rPr>
          <w:rFonts w:eastAsia="Calibri" w:cs="Arial"/>
          <w:b/>
          <w:bCs/>
          <w:sz w:val="22"/>
          <w:szCs w:val="22"/>
          <w:u w:val="single"/>
          <w:lang w:val="fr-CH" w:eastAsia="en-US"/>
        </w:rPr>
        <w:t xml:space="preserve">Mesures additionnelles </w:t>
      </w:r>
      <w:proofErr w:type="spellStart"/>
      <w:r w:rsidRPr="00AF7882">
        <w:rPr>
          <w:rFonts w:eastAsia="Calibri" w:cs="Arial"/>
          <w:b/>
          <w:bCs/>
          <w:sz w:val="22"/>
          <w:szCs w:val="22"/>
          <w:u w:val="single"/>
          <w:lang w:val="fr-CH" w:eastAsia="en-US"/>
        </w:rPr>
        <w:t>aerosol</w:t>
      </w:r>
      <w:proofErr w:type="spellEnd"/>
      <w:r w:rsidRPr="00AF7882">
        <w:rPr>
          <w:rFonts w:eastAsia="Calibri" w:cs="Arial"/>
          <w:b/>
          <w:bCs/>
          <w:sz w:val="22"/>
          <w:szCs w:val="22"/>
          <w:lang w:val="fr-CH" w:eastAsia="en-US"/>
        </w:rPr>
        <w:t xml:space="preserve"> (MAA)</w:t>
      </w:r>
      <w:r w:rsidRPr="00AF7882">
        <w:rPr>
          <w:rFonts w:eastAsia="Calibri" w:cs="Arial"/>
          <w:bCs/>
          <w:sz w:val="22"/>
          <w:szCs w:val="22"/>
          <w:lang w:val="fr-CH" w:eastAsia="en-US"/>
        </w:rPr>
        <w:t xml:space="preserve"> </w:t>
      </w:r>
      <w:r w:rsidRPr="00AF7882">
        <w:rPr>
          <w:rFonts w:eastAsia="Calibri" w:cs="Arial"/>
          <w:sz w:val="22"/>
          <w:szCs w:val="22"/>
          <w:lang w:val="fr-CH" w:eastAsia="en-US"/>
        </w:rPr>
        <w:t>en complément des Précautions Standard, en chambre individuelle (pression négative souhaitable) avec un sas de préférence, selon les modalités décrites dans le manuel HH sur intranet</w:t>
      </w:r>
      <w:r w:rsidRPr="00AF7882">
        <w:rPr>
          <w:rFonts w:eastAsia="Calibri" w:cs="Arial"/>
          <w:bCs/>
          <w:sz w:val="22"/>
          <w:szCs w:val="22"/>
          <w:lang w:val="fr-CH" w:eastAsia="en-US"/>
        </w:rPr>
        <w:t>*</w:t>
      </w:r>
      <w:r w:rsidRPr="00AF7882">
        <w:rPr>
          <w:rFonts w:eastAsia="Calibri" w:cs="Arial"/>
          <w:sz w:val="22"/>
          <w:szCs w:val="22"/>
          <w:lang w:val="fr-CH" w:eastAsia="en-US"/>
        </w:rPr>
        <w:t>.</w:t>
      </w:r>
    </w:p>
    <w:p w:rsidR="00AF7882" w:rsidRPr="00AF7882" w:rsidRDefault="00AF7882" w:rsidP="00795DF7">
      <w:pPr>
        <w:numPr>
          <w:ilvl w:val="1"/>
          <w:numId w:val="12"/>
        </w:numPr>
        <w:tabs>
          <w:tab w:val="left" w:pos="6804"/>
          <w:tab w:val="left" w:pos="9639"/>
        </w:tabs>
        <w:overflowPunct w:val="0"/>
        <w:autoSpaceDE w:val="0"/>
        <w:autoSpaceDN w:val="0"/>
        <w:adjustRightInd w:val="0"/>
        <w:spacing w:after="60" w:line="276" w:lineRule="auto"/>
        <w:ind w:left="1434" w:right="170" w:hanging="357"/>
        <w:jc w:val="both"/>
        <w:textAlignment w:val="baseline"/>
        <w:rPr>
          <w:rFonts w:eastAsia="Calibri" w:cs="Arial"/>
          <w:caps/>
          <w:sz w:val="22"/>
          <w:szCs w:val="22"/>
          <w:lang w:val="fr-CH" w:eastAsia="en-US"/>
        </w:rPr>
      </w:pPr>
      <w:r w:rsidRPr="00AF7882">
        <w:rPr>
          <w:rFonts w:eastAsia="Calibri" w:cs="Arial"/>
          <w:b/>
          <w:bCs/>
          <w:caps/>
          <w:sz w:val="22"/>
          <w:szCs w:val="22"/>
          <w:lang w:val="fr-CH" w:eastAsia="en-US"/>
        </w:rPr>
        <w:t xml:space="preserve">masque FFP2 </w:t>
      </w:r>
      <w:r w:rsidRPr="00AF7882">
        <w:rPr>
          <w:rFonts w:eastAsia="Calibri" w:cs="Arial"/>
          <w:sz w:val="22"/>
          <w:szCs w:val="22"/>
          <w:lang w:val="fr-CH" w:eastAsia="en-US"/>
        </w:rPr>
        <w:t>avant l’entrée en chambre pour le personnel non-immun.</w:t>
      </w:r>
    </w:p>
    <w:p w:rsidR="00AF7882" w:rsidRPr="00AF7882" w:rsidRDefault="00AF7882" w:rsidP="00795DF7">
      <w:pPr>
        <w:numPr>
          <w:ilvl w:val="1"/>
          <w:numId w:val="12"/>
        </w:numPr>
        <w:tabs>
          <w:tab w:val="left" w:pos="6804"/>
          <w:tab w:val="left" w:pos="9639"/>
        </w:tabs>
        <w:overflowPunct w:val="0"/>
        <w:autoSpaceDE w:val="0"/>
        <w:autoSpaceDN w:val="0"/>
        <w:adjustRightInd w:val="0"/>
        <w:spacing w:after="60" w:line="276" w:lineRule="auto"/>
        <w:ind w:left="1434" w:right="170" w:hanging="357"/>
        <w:jc w:val="both"/>
        <w:textAlignment w:val="baseline"/>
        <w:rPr>
          <w:rFonts w:eastAsia="Calibri" w:cs="Arial"/>
          <w:caps/>
          <w:sz w:val="22"/>
          <w:szCs w:val="22"/>
          <w:lang w:val="fr-CH" w:eastAsia="en-US"/>
        </w:rPr>
      </w:pPr>
      <w:r w:rsidRPr="00AF7882">
        <w:rPr>
          <w:rFonts w:eastAsia="Calibri" w:cs="Arial"/>
          <w:b/>
          <w:bCs/>
          <w:sz w:val="22"/>
          <w:szCs w:val="22"/>
          <w:lang w:val="fr-CH" w:eastAsia="en-US"/>
        </w:rPr>
        <w:t>DESINFECTION DES MAINS</w:t>
      </w:r>
      <w:r w:rsidRPr="00AF7882">
        <w:rPr>
          <w:rFonts w:eastAsia="Calibri" w:cs="Arial"/>
          <w:sz w:val="22"/>
          <w:szCs w:val="22"/>
          <w:lang w:val="fr-CH" w:eastAsia="en-US"/>
        </w:rPr>
        <w:t xml:space="preserve"> selon les recommandations habituelles. </w:t>
      </w:r>
    </w:p>
    <w:p w:rsidR="00AF7882" w:rsidRPr="00AF7882" w:rsidRDefault="00AF7882" w:rsidP="00B45AAD">
      <w:pPr>
        <w:numPr>
          <w:ilvl w:val="0"/>
          <w:numId w:val="12"/>
        </w:numPr>
        <w:tabs>
          <w:tab w:val="left" w:pos="6804"/>
          <w:tab w:val="left" w:pos="9639"/>
        </w:tabs>
        <w:spacing w:before="120" w:after="120" w:line="276" w:lineRule="auto"/>
        <w:ind w:left="851" w:right="170"/>
        <w:contextualSpacing/>
        <w:jc w:val="both"/>
        <w:rPr>
          <w:rFonts w:eastAsia="Calibri" w:cs="Arial"/>
          <w:sz w:val="22"/>
          <w:szCs w:val="22"/>
          <w:lang w:val="fr-CH" w:eastAsia="en-US"/>
        </w:rPr>
      </w:pPr>
      <w:r w:rsidRPr="00AF7882">
        <w:rPr>
          <w:rFonts w:eastAsia="Calibri" w:cs="Arial"/>
          <w:sz w:val="22"/>
          <w:szCs w:val="22"/>
          <w:lang w:val="fr-CH" w:eastAsia="en-US"/>
        </w:rPr>
        <w:t xml:space="preserve">Eviter dans tous les cas de mettre un enfant infecté par </w:t>
      </w:r>
      <w:r w:rsidRPr="00AF7882">
        <w:rPr>
          <w:rFonts w:eastAsia="Calibri" w:cs="Arial"/>
          <w:iCs/>
          <w:sz w:val="22"/>
          <w:szCs w:val="22"/>
          <w:lang w:val="fr-CH" w:eastAsia="en-US"/>
        </w:rPr>
        <w:t xml:space="preserve">le </w:t>
      </w:r>
      <w:r w:rsidRPr="00AF7882">
        <w:rPr>
          <w:rFonts w:eastAsia="Calibri" w:cs="Arial"/>
          <w:b/>
          <w:iCs/>
          <w:sz w:val="22"/>
          <w:szCs w:val="22"/>
          <w:lang w:val="fr-CH" w:eastAsia="en-US"/>
        </w:rPr>
        <w:t>virus</w:t>
      </w:r>
      <w:r w:rsidRPr="00AF7882">
        <w:rPr>
          <w:rFonts w:eastAsia="Calibri" w:cs="Arial"/>
          <w:sz w:val="22"/>
          <w:szCs w:val="22"/>
          <w:lang w:val="fr-CH" w:eastAsia="en-US"/>
        </w:rPr>
        <w:t xml:space="preserve"> de la rougeole en contact avec des enfants à risque de complications (âge &lt; 12 mois, immunodéficience, pathologie pulmonaire chronique, cardiopathie) en cas d’infection avec le virus de la rougeole.</w:t>
      </w:r>
    </w:p>
    <w:p w:rsidR="00AF7882" w:rsidRPr="00AF7882" w:rsidRDefault="00AF7882" w:rsidP="002311BE">
      <w:pPr>
        <w:numPr>
          <w:ilvl w:val="0"/>
          <w:numId w:val="12"/>
        </w:numPr>
        <w:tabs>
          <w:tab w:val="left" w:pos="6804"/>
          <w:tab w:val="left" w:pos="9639"/>
        </w:tabs>
        <w:spacing w:before="60" w:after="60" w:line="276" w:lineRule="auto"/>
        <w:ind w:left="850" w:right="170" w:hanging="357"/>
        <w:jc w:val="both"/>
        <w:rPr>
          <w:rFonts w:eastAsia="Calibri" w:cs="Arial"/>
          <w:sz w:val="22"/>
          <w:szCs w:val="22"/>
          <w:lang w:val="fr-CH" w:eastAsia="en-US"/>
        </w:rPr>
      </w:pPr>
      <w:r w:rsidRPr="00AF7882">
        <w:rPr>
          <w:rFonts w:eastAsia="Calibri" w:cs="Arial"/>
          <w:sz w:val="22"/>
          <w:szCs w:val="22"/>
          <w:lang w:val="fr-CH" w:eastAsia="en-US"/>
        </w:rPr>
        <w:lastRenderedPageBreak/>
        <w:t xml:space="preserve">Les enfants infectés par le même germe peuvent être </w:t>
      </w:r>
      <w:proofErr w:type="spellStart"/>
      <w:r w:rsidR="0097102F">
        <w:rPr>
          <w:rFonts w:eastAsia="Calibri" w:cs="Arial"/>
          <w:sz w:val="22"/>
          <w:szCs w:val="22"/>
          <w:lang w:val="fr-CH" w:eastAsia="en-US"/>
        </w:rPr>
        <w:t>cohortés</w:t>
      </w:r>
      <w:proofErr w:type="spellEnd"/>
      <w:r w:rsidR="0097102F">
        <w:rPr>
          <w:rFonts w:eastAsia="Calibri" w:cs="Arial"/>
          <w:sz w:val="22"/>
          <w:szCs w:val="22"/>
          <w:lang w:val="fr-CH" w:eastAsia="en-US"/>
        </w:rPr>
        <w:t xml:space="preserve"> dans une même chambre.</w:t>
      </w:r>
    </w:p>
    <w:p w:rsidR="00AF7882" w:rsidRPr="00AF7882" w:rsidRDefault="00AF7882" w:rsidP="00E45AB9">
      <w:pPr>
        <w:numPr>
          <w:ilvl w:val="0"/>
          <w:numId w:val="12"/>
        </w:numPr>
        <w:tabs>
          <w:tab w:val="left" w:pos="426"/>
          <w:tab w:val="left" w:pos="9639"/>
        </w:tabs>
        <w:overflowPunct w:val="0"/>
        <w:autoSpaceDE w:val="0"/>
        <w:autoSpaceDN w:val="0"/>
        <w:adjustRightInd w:val="0"/>
        <w:spacing w:after="60" w:line="276" w:lineRule="auto"/>
        <w:ind w:left="850" w:right="170" w:hanging="357"/>
        <w:jc w:val="both"/>
        <w:textAlignment w:val="baseline"/>
        <w:rPr>
          <w:rFonts w:eastAsia="Calibri" w:cs="Arial"/>
          <w:color w:val="000000"/>
          <w:sz w:val="22"/>
          <w:szCs w:val="22"/>
          <w:lang w:val="fr-CH" w:eastAsia="en-US"/>
        </w:rPr>
      </w:pPr>
      <w:r w:rsidRPr="00AF7882">
        <w:rPr>
          <w:rFonts w:eastAsia="Calibri" w:cs="Arial"/>
          <w:sz w:val="22"/>
          <w:szCs w:val="22"/>
          <w:u w:val="single"/>
          <w:lang w:val="fr-CH" w:eastAsia="en-US"/>
        </w:rPr>
        <w:t>Limiter les visites à la famille et l’entourage très proche</w:t>
      </w:r>
      <w:r w:rsidRPr="00AF7882">
        <w:rPr>
          <w:rFonts w:eastAsia="Calibri" w:cs="Arial"/>
          <w:sz w:val="22"/>
          <w:szCs w:val="22"/>
          <w:lang w:val="fr-CH" w:eastAsia="en-US"/>
        </w:rPr>
        <w:t>. Eviter dans la mesure du possible les visites des personnes non immunes et les visites de la fratrie non immune. Les parents et les proches non immuns appliquent les mesures suivantes :</w:t>
      </w:r>
    </w:p>
    <w:p w:rsidR="00AF7882" w:rsidRPr="00AF7882" w:rsidRDefault="00AF7882" w:rsidP="0077766F">
      <w:pPr>
        <w:numPr>
          <w:ilvl w:val="1"/>
          <w:numId w:val="12"/>
        </w:numPr>
        <w:tabs>
          <w:tab w:val="left" w:pos="6804"/>
          <w:tab w:val="left" w:pos="9639"/>
        </w:tabs>
        <w:overflowPunct w:val="0"/>
        <w:autoSpaceDE w:val="0"/>
        <w:autoSpaceDN w:val="0"/>
        <w:adjustRightInd w:val="0"/>
        <w:spacing w:before="60" w:after="60" w:line="276" w:lineRule="auto"/>
        <w:ind w:left="1434" w:right="170" w:hanging="357"/>
        <w:jc w:val="both"/>
        <w:textAlignment w:val="baseline"/>
        <w:rPr>
          <w:rFonts w:eastAsia="Calibri" w:cs="Arial"/>
          <w:caps/>
          <w:sz w:val="22"/>
          <w:szCs w:val="22"/>
          <w:lang w:val="fr-CH" w:eastAsia="en-US"/>
        </w:rPr>
      </w:pPr>
      <w:r w:rsidRPr="00AF7882">
        <w:rPr>
          <w:rFonts w:eastAsia="Calibri" w:cs="Arial"/>
          <w:b/>
          <w:bCs/>
          <w:caps/>
          <w:sz w:val="22"/>
          <w:szCs w:val="22"/>
          <w:lang w:val="fr-CH" w:eastAsia="en-US"/>
        </w:rPr>
        <w:t>masque FFP2</w:t>
      </w:r>
      <w:r w:rsidRPr="00AF7882">
        <w:rPr>
          <w:rFonts w:eastAsia="Calibri" w:cs="Arial"/>
          <w:bCs/>
          <w:sz w:val="22"/>
          <w:szCs w:val="22"/>
          <w:lang w:val="fr-CH" w:eastAsia="en-US"/>
        </w:rPr>
        <w:t xml:space="preserve"> </w:t>
      </w:r>
      <w:r w:rsidRPr="00AF7882">
        <w:rPr>
          <w:rFonts w:eastAsia="Calibri" w:cs="Arial"/>
          <w:sz w:val="22"/>
          <w:szCs w:val="22"/>
          <w:lang w:val="fr-CH" w:eastAsia="en-US"/>
        </w:rPr>
        <w:t>dès l’entrée dans le service.</w:t>
      </w:r>
    </w:p>
    <w:p w:rsidR="00AF7882" w:rsidRPr="00AF7882" w:rsidRDefault="00AF7882" w:rsidP="0077766F">
      <w:pPr>
        <w:numPr>
          <w:ilvl w:val="1"/>
          <w:numId w:val="12"/>
        </w:numPr>
        <w:tabs>
          <w:tab w:val="left" w:pos="6804"/>
          <w:tab w:val="left" w:pos="9639"/>
        </w:tabs>
        <w:overflowPunct w:val="0"/>
        <w:autoSpaceDE w:val="0"/>
        <w:autoSpaceDN w:val="0"/>
        <w:adjustRightInd w:val="0"/>
        <w:spacing w:before="60" w:after="60" w:line="276" w:lineRule="auto"/>
        <w:ind w:left="1434" w:right="170" w:hanging="357"/>
        <w:jc w:val="both"/>
        <w:textAlignment w:val="baseline"/>
        <w:rPr>
          <w:rFonts w:eastAsia="Calibri" w:cs="Arial"/>
          <w:caps/>
          <w:sz w:val="22"/>
          <w:szCs w:val="22"/>
          <w:lang w:val="fr-CH" w:eastAsia="en-US"/>
        </w:rPr>
      </w:pPr>
      <w:r w:rsidRPr="00AF7882">
        <w:rPr>
          <w:rFonts w:eastAsia="Calibri" w:cs="Arial"/>
          <w:b/>
          <w:bCs/>
          <w:sz w:val="22"/>
          <w:szCs w:val="22"/>
          <w:lang w:val="fr-CH" w:eastAsia="en-US"/>
        </w:rPr>
        <w:t>DESINFECTION DES MAINS</w:t>
      </w:r>
      <w:r w:rsidRPr="00AF7882">
        <w:rPr>
          <w:rFonts w:eastAsia="Calibri" w:cs="Arial"/>
          <w:sz w:val="22"/>
          <w:szCs w:val="22"/>
          <w:lang w:val="fr-CH" w:eastAsia="en-US"/>
        </w:rPr>
        <w:t xml:space="preserve"> selon les recommandations habituelles, en particulier à la sortie de la chambre.</w:t>
      </w:r>
    </w:p>
    <w:p w:rsidR="00AF7882" w:rsidRPr="00AF7882" w:rsidRDefault="00AF7882" w:rsidP="00B45AAD">
      <w:pPr>
        <w:numPr>
          <w:ilvl w:val="0"/>
          <w:numId w:val="12"/>
        </w:numPr>
        <w:tabs>
          <w:tab w:val="left" w:pos="426"/>
          <w:tab w:val="left" w:pos="9639"/>
        </w:tabs>
        <w:overflowPunct w:val="0"/>
        <w:autoSpaceDE w:val="0"/>
        <w:autoSpaceDN w:val="0"/>
        <w:adjustRightInd w:val="0"/>
        <w:spacing w:before="120" w:after="120" w:line="276" w:lineRule="auto"/>
        <w:ind w:left="851" w:right="170"/>
        <w:jc w:val="both"/>
        <w:textAlignment w:val="baseline"/>
        <w:rPr>
          <w:rFonts w:eastAsia="Calibri" w:cs="Arial"/>
          <w:color w:val="000000"/>
          <w:sz w:val="22"/>
          <w:szCs w:val="22"/>
          <w:lang w:val="fr-CH" w:eastAsia="en-US"/>
        </w:rPr>
      </w:pPr>
      <w:r w:rsidRPr="00AF7882">
        <w:rPr>
          <w:rFonts w:eastAsia="Calibri" w:cs="Arial"/>
          <w:sz w:val="22"/>
          <w:szCs w:val="22"/>
          <w:lang w:val="fr-CH" w:eastAsia="en-US"/>
        </w:rPr>
        <w:t>Les</w:t>
      </w:r>
      <w:r w:rsidRPr="00AF7882">
        <w:rPr>
          <w:rFonts w:eastAsia="Calibri" w:cs="Arial"/>
          <w:b/>
          <w:bCs/>
          <w:sz w:val="22"/>
          <w:szCs w:val="22"/>
          <w:lang w:val="fr-CH" w:eastAsia="en-US"/>
        </w:rPr>
        <w:t xml:space="preserve"> MAA </w:t>
      </w:r>
      <w:r w:rsidRPr="00AF7882">
        <w:rPr>
          <w:rFonts w:eastAsia="Calibri" w:cs="Arial"/>
          <w:sz w:val="22"/>
          <w:szCs w:val="22"/>
          <w:lang w:val="fr-CH" w:eastAsia="en-US"/>
        </w:rPr>
        <w:t>doivent être maintenues au moins jusqu’à 4 jours après le début de l’apparition de l’exanthème.</w:t>
      </w:r>
    </w:p>
    <w:p w:rsidR="00AF7882" w:rsidRPr="00AF7882" w:rsidRDefault="00AF7882" w:rsidP="0088550C">
      <w:pPr>
        <w:numPr>
          <w:ilvl w:val="0"/>
          <w:numId w:val="12"/>
        </w:numPr>
        <w:tabs>
          <w:tab w:val="left" w:pos="426"/>
          <w:tab w:val="left" w:pos="9639"/>
        </w:tabs>
        <w:overflowPunct w:val="0"/>
        <w:autoSpaceDE w:val="0"/>
        <w:autoSpaceDN w:val="0"/>
        <w:adjustRightInd w:val="0"/>
        <w:spacing w:before="60" w:after="60" w:line="276" w:lineRule="auto"/>
        <w:ind w:left="850" w:right="170" w:hanging="357"/>
        <w:jc w:val="both"/>
        <w:textAlignment w:val="baseline"/>
        <w:rPr>
          <w:rFonts w:eastAsia="Calibri" w:cs="Arial"/>
          <w:color w:val="000000"/>
          <w:sz w:val="22"/>
          <w:szCs w:val="22"/>
          <w:lang w:val="fr-CH" w:eastAsia="en-US"/>
        </w:rPr>
      </w:pPr>
      <w:r w:rsidRPr="00AF7882">
        <w:rPr>
          <w:rFonts w:eastAsia="Calibri" w:cs="Arial"/>
          <w:color w:val="000000"/>
          <w:sz w:val="22"/>
          <w:szCs w:val="22"/>
          <w:lang w:val="fr-CH" w:eastAsia="en-US"/>
        </w:rPr>
        <w:t>A la</w:t>
      </w:r>
      <w:r w:rsidRPr="00AF7882">
        <w:rPr>
          <w:rFonts w:eastAsia="Calibri" w:cs="Arial"/>
          <w:b/>
          <w:bCs/>
          <w:color w:val="000000"/>
          <w:sz w:val="22"/>
          <w:szCs w:val="22"/>
          <w:lang w:val="fr-CH" w:eastAsia="en-US"/>
        </w:rPr>
        <w:t xml:space="preserve"> l</w:t>
      </w:r>
      <w:r w:rsidRPr="00AF7882">
        <w:rPr>
          <w:rFonts w:eastAsia="Calibri" w:cs="Arial"/>
          <w:b/>
          <w:bCs/>
          <w:sz w:val="22"/>
          <w:szCs w:val="22"/>
          <w:lang w:val="fr-CH" w:eastAsia="en-US"/>
        </w:rPr>
        <w:t>evée des MAA</w:t>
      </w:r>
      <w:r w:rsidRPr="00AF7882">
        <w:rPr>
          <w:rFonts w:eastAsia="Calibri" w:cs="Arial"/>
          <w:color w:val="000000"/>
          <w:sz w:val="22"/>
          <w:szCs w:val="22"/>
          <w:lang w:val="fr-CH" w:eastAsia="en-US"/>
        </w:rPr>
        <w:t>:</w:t>
      </w:r>
    </w:p>
    <w:p w:rsidR="00AF7882" w:rsidRPr="00AF7882" w:rsidRDefault="00AF7882" w:rsidP="00F52B3F">
      <w:pPr>
        <w:numPr>
          <w:ilvl w:val="1"/>
          <w:numId w:val="4"/>
        </w:numPr>
        <w:tabs>
          <w:tab w:val="left" w:pos="426"/>
          <w:tab w:val="left" w:pos="9639"/>
        </w:tabs>
        <w:overflowPunct w:val="0"/>
        <w:autoSpaceDE w:val="0"/>
        <w:autoSpaceDN w:val="0"/>
        <w:adjustRightInd w:val="0"/>
        <w:spacing w:before="60" w:after="60" w:line="276" w:lineRule="auto"/>
        <w:ind w:left="1134" w:right="170" w:hanging="283"/>
        <w:contextualSpacing/>
        <w:jc w:val="both"/>
        <w:textAlignment w:val="baseline"/>
        <w:rPr>
          <w:rFonts w:eastAsia="Calibri" w:cs="Arial"/>
          <w:color w:val="000000"/>
          <w:sz w:val="22"/>
          <w:szCs w:val="22"/>
          <w:lang w:val="fr-CH" w:eastAsia="en-US"/>
        </w:rPr>
      </w:pPr>
      <w:r w:rsidRPr="00AF7882">
        <w:rPr>
          <w:rFonts w:eastAsia="Calibri" w:cs="Arial"/>
          <w:sz w:val="22"/>
          <w:szCs w:val="22"/>
          <w:lang w:val="fr-CH" w:eastAsia="en-US"/>
        </w:rPr>
        <w:t>Changer le rideau autour du lit même si le patient reste dans la même chambre</w:t>
      </w:r>
    </w:p>
    <w:p w:rsidR="00AF7882" w:rsidRPr="00AF7882" w:rsidRDefault="00AF7882" w:rsidP="00F52B3F">
      <w:pPr>
        <w:numPr>
          <w:ilvl w:val="1"/>
          <w:numId w:val="4"/>
        </w:numPr>
        <w:tabs>
          <w:tab w:val="left" w:pos="426"/>
          <w:tab w:val="left" w:pos="9639"/>
        </w:tabs>
        <w:overflowPunct w:val="0"/>
        <w:autoSpaceDE w:val="0"/>
        <w:autoSpaceDN w:val="0"/>
        <w:adjustRightInd w:val="0"/>
        <w:spacing w:before="60" w:after="60" w:line="276" w:lineRule="auto"/>
        <w:ind w:left="1134" w:right="170" w:hanging="283"/>
        <w:contextualSpacing/>
        <w:jc w:val="both"/>
        <w:textAlignment w:val="baseline"/>
        <w:rPr>
          <w:rFonts w:eastAsia="Calibri" w:cs="Arial"/>
          <w:color w:val="000000"/>
          <w:sz w:val="22"/>
          <w:szCs w:val="22"/>
          <w:lang w:val="fr-CH" w:eastAsia="en-US"/>
        </w:rPr>
      </w:pPr>
      <w:r w:rsidRPr="00AF7882">
        <w:rPr>
          <w:rFonts w:eastAsia="Calibri" w:cs="Arial"/>
          <w:sz w:val="22"/>
          <w:szCs w:val="22"/>
          <w:lang w:val="fr-CH" w:eastAsia="en-US"/>
        </w:rPr>
        <w:t>Attribuer un nouveau lit ou désinfecter le lit et changer l'ensemble de la literie</w:t>
      </w:r>
    </w:p>
    <w:p w:rsidR="00AF7882" w:rsidRPr="00AF7882" w:rsidRDefault="00AF7882" w:rsidP="00F52B3F">
      <w:pPr>
        <w:numPr>
          <w:ilvl w:val="1"/>
          <w:numId w:val="4"/>
        </w:numPr>
        <w:tabs>
          <w:tab w:val="left" w:pos="426"/>
          <w:tab w:val="left" w:pos="9639"/>
        </w:tabs>
        <w:overflowPunct w:val="0"/>
        <w:autoSpaceDE w:val="0"/>
        <w:autoSpaceDN w:val="0"/>
        <w:adjustRightInd w:val="0"/>
        <w:spacing w:before="60" w:after="60" w:line="276" w:lineRule="auto"/>
        <w:ind w:left="1134" w:right="170" w:hanging="283"/>
        <w:contextualSpacing/>
        <w:jc w:val="both"/>
        <w:textAlignment w:val="baseline"/>
        <w:rPr>
          <w:rFonts w:eastAsia="Calibri" w:cs="Arial"/>
          <w:color w:val="000000"/>
          <w:sz w:val="22"/>
          <w:szCs w:val="22"/>
          <w:lang w:val="fr-CH" w:eastAsia="en-US"/>
        </w:rPr>
      </w:pPr>
      <w:r w:rsidRPr="00AF7882">
        <w:rPr>
          <w:rFonts w:eastAsia="Calibri" w:cs="Arial"/>
          <w:sz w:val="22"/>
          <w:szCs w:val="22"/>
          <w:lang w:val="fr-CH" w:eastAsia="en-US"/>
        </w:rPr>
        <w:t xml:space="preserve">Désinfecter minutieusement l'environnement direct du patient (table de nuit, statif, </w:t>
      </w:r>
      <w:proofErr w:type="spellStart"/>
      <w:r w:rsidRPr="00AF7882">
        <w:rPr>
          <w:rFonts w:eastAsia="Calibri" w:cs="Arial"/>
          <w:sz w:val="22"/>
          <w:szCs w:val="22"/>
          <w:lang w:val="fr-CH" w:eastAsia="en-US"/>
        </w:rPr>
        <w:t>perfusomat</w:t>
      </w:r>
      <w:proofErr w:type="spellEnd"/>
      <w:r w:rsidRPr="00AF7882">
        <w:rPr>
          <w:rFonts w:eastAsia="Calibri" w:cs="Arial"/>
          <w:sz w:val="22"/>
          <w:szCs w:val="22"/>
          <w:lang w:val="fr-CH" w:eastAsia="en-US"/>
        </w:rPr>
        <w:t>, jouets, etc.) comme décrit dans le manuel HH qui se trouve sur intranet*).</w:t>
      </w:r>
    </w:p>
    <w:p w:rsidR="00AF7882" w:rsidRPr="00AF7882" w:rsidRDefault="00AF7882" w:rsidP="00F52B3F">
      <w:pPr>
        <w:numPr>
          <w:ilvl w:val="1"/>
          <w:numId w:val="4"/>
        </w:numPr>
        <w:tabs>
          <w:tab w:val="left" w:pos="7697"/>
        </w:tabs>
        <w:overflowPunct w:val="0"/>
        <w:autoSpaceDE w:val="0"/>
        <w:autoSpaceDN w:val="0"/>
        <w:adjustRightInd w:val="0"/>
        <w:spacing w:after="200" w:line="276" w:lineRule="auto"/>
        <w:ind w:left="1134" w:hanging="283"/>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Si le patient sort durant la période de contagiosité </w:t>
      </w:r>
      <w:proofErr w:type="gramStart"/>
      <w:r w:rsidRPr="00AF7882">
        <w:rPr>
          <w:rFonts w:eastAsia="Calibri" w:cs="Arial"/>
          <w:sz w:val="22"/>
          <w:szCs w:val="22"/>
          <w:lang w:val="fr-CH" w:eastAsia="en-US"/>
        </w:rPr>
        <w:t>:l</w:t>
      </w:r>
      <w:r w:rsidRPr="00AF7882">
        <w:rPr>
          <w:rFonts w:eastAsia="Calibri" w:cs="Arial"/>
          <w:sz w:val="22"/>
          <w:szCs w:val="22"/>
          <w:u w:val="single"/>
          <w:lang w:val="fr-CH" w:eastAsia="en-US"/>
        </w:rPr>
        <w:t>aisser</w:t>
      </w:r>
      <w:proofErr w:type="gramEnd"/>
      <w:r w:rsidRPr="00AF7882">
        <w:rPr>
          <w:rFonts w:eastAsia="Calibri" w:cs="Arial"/>
          <w:sz w:val="22"/>
          <w:szCs w:val="22"/>
          <w:u w:val="single"/>
          <w:lang w:val="fr-CH" w:eastAsia="en-US"/>
        </w:rPr>
        <w:t xml:space="preserve"> reposer la chambre </w:t>
      </w:r>
      <w:r w:rsidRPr="00AF7882">
        <w:rPr>
          <w:rFonts w:eastAsia="Calibri" w:cs="Arial"/>
          <w:sz w:val="22"/>
          <w:szCs w:val="22"/>
          <w:lang w:val="fr-CH" w:eastAsia="en-US"/>
        </w:rPr>
        <w:t>durant 2 heures avant sa réutilisation.</w:t>
      </w:r>
    </w:p>
    <w:p w:rsidR="00AF7882" w:rsidRPr="00AF7882" w:rsidRDefault="00AF7882" w:rsidP="00224AFF">
      <w:pPr>
        <w:numPr>
          <w:ilvl w:val="0"/>
          <w:numId w:val="3"/>
        </w:numPr>
        <w:spacing w:before="360" w:after="60" w:line="276" w:lineRule="auto"/>
        <w:ind w:left="425" w:hanging="357"/>
        <w:jc w:val="both"/>
        <w:rPr>
          <w:rFonts w:eastAsia="Calibri" w:cs="Arial"/>
          <w:b/>
          <w:sz w:val="22"/>
          <w:szCs w:val="22"/>
          <w:lang w:val="fr-CH" w:eastAsia="en-US"/>
        </w:rPr>
      </w:pPr>
      <w:r w:rsidRPr="00AF7882">
        <w:rPr>
          <w:rFonts w:eastAsia="Calibri" w:cs="Arial"/>
          <w:b/>
          <w:sz w:val="22"/>
          <w:szCs w:val="22"/>
          <w:lang w:val="fr-CH" w:eastAsia="en-US"/>
        </w:rPr>
        <w:t>ENQUÊTE D’ENTOURAGE</w:t>
      </w:r>
    </w:p>
    <w:p w:rsidR="00AF7882" w:rsidRPr="00AF7882" w:rsidRDefault="00AF7882" w:rsidP="00224AFF">
      <w:pPr>
        <w:spacing w:line="276" w:lineRule="auto"/>
        <w:ind w:left="425"/>
        <w:jc w:val="both"/>
        <w:rPr>
          <w:rFonts w:eastAsia="Calibri" w:cs="Arial"/>
          <w:sz w:val="22"/>
          <w:szCs w:val="22"/>
          <w:lang w:val="fr-CH" w:eastAsia="en-US"/>
        </w:rPr>
      </w:pPr>
      <w:r w:rsidRPr="00AF7882">
        <w:rPr>
          <w:rFonts w:eastAsia="Calibri" w:cs="Arial"/>
          <w:sz w:val="22"/>
          <w:szCs w:val="22"/>
          <w:lang w:val="fr-CH" w:eastAsia="en-US"/>
        </w:rPr>
        <w:t xml:space="preserve">La rougeole est une maladie à </w:t>
      </w:r>
      <w:r w:rsidRPr="00AF7882">
        <w:rPr>
          <w:rFonts w:eastAsia="Calibri" w:cs="Arial"/>
          <w:b/>
          <w:sz w:val="22"/>
          <w:szCs w:val="22"/>
          <w:lang w:val="fr-CH" w:eastAsia="en-US"/>
        </w:rPr>
        <w:t>déclaration obligatoire</w:t>
      </w:r>
      <w:r w:rsidRPr="00AF7882">
        <w:rPr>
          <w:rFonts w:eastAsia="Calibri" w:cs="Arial"/>
          <w:sz w:val="22"/>
          <w:szCs w:val="22"/>
          <w:lang w:val="fr-CH" w:eastAsia="en-US"/>
        </w:rPr>
        <w:t xml:space="preserve"> avec une déclaration initiale du médecin en charge du patient, une déclaration du laboratoire et une déclaration complémentaire du médecin en charge du patient. </w:t>
      </w:r>
    </w:p>
    <w:p w:rsidR="00AF7882" w:rsidRPr="00AF7882" w:rsidRDefault="00AF7882" w:rsidP="00224AFF">
      <w:pPr>
        <w:spacing w:line="276" w:lineRule="auto"/>
        <w:ind w:left="425"/>
        <w:jc w:val="both"/>
        <w:rPr>
          <w:rFonts w:ascii="Calibri" w:eastAsia="Calibri" w:hAnsi="Calibri"/>
          <w:sz w:val="22"/>
          <w:szCs w:val="22"/>
          <w:lang w:val="fr-CH" w:eastAsia="en-US"/>
        </w:rPr>
      </w:pPr>
      <w:hyperlink r:id="rId8" w:history="1">
        <w:r w:rsidRPr="00AF7882">
          <w:rPr>
            <w:rFonts w:eastAsia="Calibri" w:cs="Arial"/>
            <w:color w:val="0000FF"/>
            <w:sz w:val="22"/>
            <w:szCs w:val="22"/>
            <w:u w:val="single"/>
            <w:lang w:val="fr-CH" w:eastAsia="en-US"/>
          </w:rPr>
          <w:t>http://www.bag.admin.ch/k_m_meldesystem/00733/00814/index.html?lang=fr</w:t>
        </w:r>
      </w:hyperlink>
    </w:p>
    <w:p w:rsidR="00AF7882" w:rsidRPr="00AF7882" w:rsidRDefault="00AF7882" w:rsidP="00B45AAD">
      <w:pPr>
        <w:spacing w:after="200" w:line="276" w:lineRule="auto"/>
        <w:ind w:left="426"/>
        <w:jc w:val="both"/>
        <w:rPr>
          <w:rFonts w:eastAsia="Calibri" w:cs="Arial"/>
          <w:sz w:val="22"/>
          <w:szCs w:val="22"/>
          <w:lang w:val="fr-CH" w:eastAsia="en-US"/>
        </w:rPr>
      </w:pPr>
      <w:r w:rsidRPr="00AF7882">
        <w:rPr>
          <w:rFonts w:eastAsia="Calibri" w:cs="Arial"/>
          <w:sz w:val="22"/>
          <w:szCs w:val="22"/>
          <w:lang w:val="fr-CH" w:eastAsia="en-US"/>
        </w:rPr>
        <w:t>Procéder à une enquête d’entourage si le diagnostic a été posé après la prise en charge initiale, ceci selon les modalités décrites ci-dessous.</w:t>
      </w:r>
    </w:p>
    <w:p w:rsidR="00AF7882" w:rsidRPr="00AF7882" w:rsidRDefault="00AF7882" w:rsidP="00B45AAD">
      <w:pPr>
        <w:numPr>
          <w:ilvl w:val="0"/>
          <w:numId w:val="3"/>
        </w:numPr>
        <w:tabs>
          <w:tab w:val="left" w:pos="6804"/>
          <w:tab w:val="left" w:pos="9639"/>
        </w:tabs>
        <w:spacing w:before="120" w:after="120" w:line="360" w:lineRule="auto"/>
        <w:ind w:left="426" w:right="170" w:hanging="357"/>
        <w:contextualSpacing/>
        <w:jc w:val="both"/>
        <w:rPr>
          <w:rFonts w:eastAsia="Calibri" w:cs="Arial"/>
          <w:b/>
          <w:caps/>
          <w:sz w:val="22"/>
          <w:szCs w:val="22"/>
          <w:lang w:val="fr-CH" w:eastAsia="en-US"/>
        </w:rPr>
      </w:pPr>
      <w:r w:rsidRPr="00AF7882">
        <w:rPr>
          <w:rFonts w:eastAsia="Calibri" w:cs="Arial"/>
          <w:b/>
          <w:caps/>
          <w:sz w:val="22"/>
          <w:szCs w:val="22"/>
          <w:lang w:val="fr-CH" w:eastAsia="en-US"/>
        </w:rPr>
        <w:t>Attitude prevalente aux urgences et en Policlinique de l’HEL</w:t>
      </w:r>
    </w:p>
    <w:p w:rsidR="00AF7882" w:rsidRPr="00AF7882" w:rsidRDefault="00AF7882" w:rsidP="008C1971">
      <w:pPr>
        <w:numPr>
          <w:ilvl w:val="0"/>
          <w:numId w:val="5"/>
        </w:numPr>
        <w:tabs>
          <w:tab w:val="left" w:pos="6804"/>
          <w:tab w:val="left" w:pos="9639"/>
        </w:tabs>
        <w:overflowPunct w:val="0"/>
        <w:autoSpaceDE w:val="0"/>
        <w:autoSpaceDN w:val="0"/>
        <w:adjustRightInd w:val="0"/>
        <w:spacing w:before="120" w:after="120" w:line="276" w:lineRule="auto"/>
        <w:ind w:left="714" w:right="170" w:hanging="357"/>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 xml:space="preserve">Identifier </w:t>
      </w:r>
      <w:r w:rsidRPr="00AF7882">
        <w:rPr>
          <w:rFonts w:eastAsia="Calibri" w:cs="Arial"/>
          <w:sz w:val="22"/>
          <w:szCs w:val="22"/>
          <w:u w:val="single"/>
          <w:lang w:val="fr-CH" w:eastAsia="en-US"/>
        </w:rPr>
        <w:t>les contacts</w:t>
      </w:r>
      <w:r w:rsidRPr="00AF7882">
        <w:rPr>
          <w:rFonts w:eastAsia="Calibri" w:cs="Arial"/>
          <w:sz w:val="22"/>
          <w:szCs w:val="22"/>
          <w:lang w:val="fr-CH" w:eastAsia="en-US"/>
        </w:rPr>
        <w:t xml:space="preserve"> du cas source = personne ayant séjourné dans un local fermé en même temps qu’un cas source symptomatique ou dans les 2 heures suivant son départ.</w:t>
      </w:r>
    </w:p>
    <w:p w:rsidR="00AF7882" w:rsidRPr="00AF7882" w:rsidRDefault="00AF7882" w:rsidP="008C1971">
      <w:pPr>
        <w:tabs>
          <w:tab w:val="left" w:pos="6804"/>
          <w:tab w:val="left" w:pos="9639"/>
        </w:tabs>
        <w:spacing w:before="120" w:after="60" w:line="276" w:lineRule="auto"/>
        <w:ind w:left="720" w:right="170"/>
        <w:contextualSpacing/>
        <w:jc w:val="both"/>
        <w:rPr>
          <w:rFonts w:eastAsia="Calibri" w:cs="Arial"/>
          <w:sz w:val="22"/>
          <w:szCs w:val="22"/>
          <w:lang w:val="fr-CH" w:eastAsia="en-US"/>
        </w:rPr>
      </w:pPr>
      <w:r w:rsidRPr="00AF7882">
        <w:rPr>
          <w:rFonts w:eastAsia="Calibri" w:cs="Arial"/>
          <w:sz w:val="22"/>
          <w:szCs w:val="22"/>
          <w:lang w:val="fr-CH" w:eastAsia="en-US"/>
        </w:rPr>
        <w:t>Parmi ces contacts, identifier les sujets à risque de contracter une rougeole ou de faire une rougeole compliquée</w:t>
      </w:r>
    </w:p>
    <w:p w:rsidR="00AF7882" w:rsidRPr="00AF7882" w:rsidRDefault="00AF7882" w:rsidP="008C1971">
      <w:pPr>
        <w:numPr>
          <w:ilvl w:val="0"/>
          <w:numId w:val="6"/>
        </w:numPr>
        <w:tabs>
          <w:tab w:val="left" w:pos="6804"/>
          <w:tab w:val="left" w:pos="9639"/>
        </w:tabs>
        <w:overflowPunct w:val="0"/>
        <w:autoSpaceDE w:val="0"/>
        <w:autoSpaceDN w:val="0"/>
        <w:adjustRightInd w:val="0"/>
        <w:spacing w:before="120" w:after="60" w:line="276" w:lineRule="auto"/>
        <w:ind w:left="1418" w:right="170"/>
        <w:contextualSpacing/>
        <w:jc w:val="both"/>
        <w:textAlignment w:val="baseline"/>
        <w:rPr>
          <w:rFonts w:eastAsia="Calibri" w:cs="Arial"/>
          <w:sz w:val="22"/>
          <w:szCs w:val="22"/>
          <w:lang w:val="en-US" w:eastAsia="en-US"/>
        </w:rPr>
      </w:pPr>
      <w:r w:rsidRPr="00AF7882">
        <w:rPr>
          <w:rFonts w:eastAsia="Calibri" w:cs="Arial"/>
          <w:sz w:val="22"/>
          <w:szCs w:val="22"/>
          <w:lang w:val="en-US" w:eastAsia="en-US"/>
        </w:rPr>
        <w:t xml:space="preserve">Enfant </w:t>
      </w:r>
      <w:proofErr w:type="spellStart"/>
      <w:r w:rsidRPr="00AF7882">
        <w:rPr>
          <w:rFonts w:eastAsia="Calibri" w:cs="Arial"/>
          <w:sz w:val="22"/>
          <w:szCs w:val="22"/>
          <w:lang w:val="en-US" w:eastAsia="en-US"/>
        </w:rPr>
        <w:t>sain</w:t>
      </w:r>
      <w:proofErr w:type="spellEnd"/>
      <w:r w:rsidRPr="00AF7882">
        <w:rPr>
          <w:rFonts w:eastAsia="Calibri" w:cs="Arial"/>
          <w:sz w:val="22"/>
          <w:szCs w:val="22"/>
          <w:lang w:val="en-US" w:eastAsia="en-US"/>
        </w:rPr>
        <w:t xml:space="preserve"> &lt; 11mois </w:t>
      </w:r>
    </w:p>
    <w:p w:rsidR="00AF7882" w:rsidRPr="00AF7882" w:rsidRDefault="00AF7882" w:rsidP="008C1971">
      <w:pPr>
        <w:numPr>
          <w:ilvl w:val="0"/>
          <w:numId w:val="6"/>
        </w:numPr>
        <w:tabs>
          <w:tab w:val="left" w:pos="6804"/>
          <w:tab w:val="left" w:pos="9639"/>
        </w:tabs>
        <w:overflowPunct w:val="0"/>
        <w:autoSpaceDE w:val="0"/>
        <w:autoSpaceDN w:val="0"/>
        <w:adjustRightInd w:val="0"/>
        <w:spacing w:before="120" w:after="60" w:line="276" w:lineRule="auto"/>
        <w:ind w:left="1418" w:right="170"/>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Enfant &gt; 12 mois, non-vacciné ou vacciné 1 dose</w:t>
      </w:r>
    </w:p>
    <w:p w:rsidR="00AF7882" w:rsidRPr="00AF7882" w:rsidRDefault="00AF7882" w:rsidP="008C1971">
      <w:pPr>
        <w:numPr>
          <w:ilvl w:val="0"/>
          <w:numId w:val="6"/>
        </w:numPr>
        <w:tabs>
          <w:tab w:val="left" w:pos="6804"/>
          <w:tab w:val="left" w:pos="9639"/>
        </w:tabs>
        <w:overflowPunct w:val="0"/>
        <w:autoSpaceDE w:val="0"/>
        <w:autoSpaceDN w:val="0"/>
        <w:adjustRightInd w:val="0"/>
        <w:spacing w:before="120" w:after="60" w:line="276" w:lineRule="auto"/>
        <w:ind w:left="1418" w:right="170"/>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Enfant avec déficit immunitaire (tous âges).</w:t>
      </w:r>
    </w:p>
    <w:p w:rsidR="00AF7882" w:rsidRPr="00AF7882" w:rsidRDefault="00AF7882" w:rsidP="008C1971">
      <w:pPr>
        <w:numPr>
          <w:ilvl w:val="0"/>
          <w:numId w:val="6"/>
        </w:numPr>
        <w:tabs>
          <w:tab w:val="left" w:pos="6804"/>
          <w:tab w:val="left" w:pos="9639"/>
        </w:tabs>
        <w:overflowPunct w:val="0"/>
        <w:autoSpaceDE w:val="0"/>
        <w:autoSpaceDN w:val="0"/>
        <w:adjustRightInd w:val="0"/>
        <w:spacing w:before="120" w:after="120" w:line="360" w:lineRule="auto"/>
        <w:ind w:left="1417" w:right="170" w:hanging="357"/>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Sujet né &gt; 1964 non-vacciné ou vacciné 1 dose</w:t>
      </w:r>
    </w:p>
    <w:p w:rsidR="00AF7882" w:rsidRPr="00AF7882" w:rsidRDefault="00AF7882" w:rsidP="008C1971">
      <w:pPr>
        <w:numPr>
          <w:ilvl w:val="0"/>
          <w:numId w:val="5"/>
        </w:numPr>
        <w:tabs>
          <w:tab w:val="left" w:pos="6804"/>
          <w:tab w:val="left" w:pos="9639"/>
        </w:tabs>
        <w:overflowPunct w:val="0"/>
        <w:autoSpaceDE w:val="0"/>
        <w:autoSpaceDN w:val="0"/>
        <w:adjustRightInd w:val="0"/>
        <w:spacing w:before="240" w:after="240" w:line="276" w:lineRule="auto"/>
        <w:ind w:left="714" w:right="170" w:hanging="357"/>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Appliquer les mesures de prévention aux sujets à risque en fonction de l’âge et du risque et sur le conseil du médecin infectiologue :</w:t>
      </w:r>
    </w:p>
    <w:p w:rsidR="00AF7882" w:rsidRPr="00AF7882" w:rsidRDefault="00AF7882" w:rsidP="008C1971">
      <w:pPr>
        <w:numPr>
          <w:ilvl w:val="0"/>
          <w:numId w:val="7"/>
        </w:numPr>
        <w:tabs>
          <w:tab w:val="left" w:pos="6804"/>
          <w:tab w:val="left" w:pos="9639"/>
        </w:tabs>
        <w:overflowPunct w:val="0"/>
        <w:autoSpaceDE w:val="0"/>
        <w:autoSpaceDN w:val="0"/>
        <w:adjustRightInd w:val="0"/>
        <w:spacing w:before="360" w:after="120" w:line="276" w:lineRule="auto"/>
        <w:ind w:left="1434" w:right="170" w:hanging="357"/>
        <w:contextualSpacing/>
        <w:jc w:val="both"/>
        <w:textAlignment w:val="baseline"/>
        <w:rPr>
          <w:rFonts w:eastAsia="Calibri" w:cs="Arial"/>
          <w:sz w:val="22"/>
          <w:szCs w:val="22"/>
          <w:lang w:val="en-US" w:eastAsia="en-US"/>
        </w:rPr>
      </w:pPr>
      <w:r w:rsidRPr="00AF7882">
        <w:rPr>
          <w:rFonts w:eastAsia="Calibri" w:cs="Arial"/>
          <w:b/>
          <w:sz w:val="22"/>
          <w:szCs w:val="22"/>
          <w:lang w:val="en-US" w:eastAsia="en-US"/>
        </w:rPr>
        <w:t xml:space="preserve">Enfant à </w:t>
      </w:r>
      <w:proofErr w:type="spellStart"/>
      <w:r w:rsidRPr="00AF7882">
        <w:rPr>
          <w:rFonts w:eastAsia="Calibri" w:cs="Arial"/>
          <w:b/>
          <w:sz w:val="22"/>
          <w:szCs w:val="22"/>
          <w:lang w:val="en-US" w:eastAsia="en-US"/>
        </w:rPr>
        <w:t>risque</w:t>
      </w:r>
      <w:proofErr w:type="spellEnd"/>
      <w:r w:rsidRPr="00AF7882">
        <w:rPr>
          <w:rFonts w:eastAsia="Calibri" w:cs="Arial"/>
          <w:b/>
          <w:sz w:val="22"/>
          <w:szCs w:val="22"/>
          <w:lang w:val="en-US" w:eastAsia="en-US"/>
        </w:rPr>
        <w:t xml:space="preserve"> &lt;6 </w:t>
      </w:r>
      <w:proofErr w:type="spellStart"/>
      <w:r w:rsidRPr="00AF7882">
        <w:rPr>
          <w:rFonts w:eastAsia="Calibri" w:cs="Arial"/>
          <w:b/>
          <w:sz w:val="22"/>
          <w:szCs w:val="22"/>
          <w:lang w:val="en-US" w:eastAsia="en-US"/>
        </w:rPr>
        <w:t>mois</w:t>
      </w:r>
      <w:proofErr w:type="spellEnd"/>
      <w:r w:rsidRPr="00AF7882">
        <w:rPr>
          <w:rFonts w:eastAsia="Calibri" w:cs="Arial"/>
          <w:sz w:val="22"/>
          <w:szCs w:val="22"/>
          <w:lang w:val="en-US" w:eastAsia="en-US"/>
        </w:rPr>
        <w:t xml:space="preserve"> : </w:t>
      </w:r>
    </w:p>
    <w:p w:rsidR="00AF7882" w:rsidRPr="00AF7882" w:rsidRDefault="00AF7882" w:rsidP="001714E8">
      <w:pPr>
        <w:numPr>
          <w:ilvl w:val="2"/>
          <w:numId w:val="4"/>
        </w:numPr>
        <w:tabs>
          <w:tab w:val="left" w:pos="6804"/>
          <w:tab w:val="left" w:pos="9639"/>
        </w:tabs>
        <w:overflowPunct w:val="0"/>
        <w:autoSpaceDE w:val="0"/>
        <w:autoSpaceDN w:val="0"/>
        <w:adjustRightInd w:val="0"/>
        <w:spacing w:before="120" w:after="60" w:line="276" w:lineRule="auto"/>
        <w:ind w:left="1843" w:right="170"/>
        <w:contextualSpacing/>
        <w:jc w:val="both"/>
        <w:textAlignment w:val="baseline"/>
        <w:rPr>
          <w:rFonts w:eastAsia="Calibri" w:cs="Arial"/>
          <w:sz w:val="22"/>
          <w:szCs w:val="22"/>
          <w:lang w:val="fr-CH" w:eastAsia="en-US"/>
        </w:rPr>
      </w:pPr>
      <w:r w:rsidRPr="00AF7882">
        <w:rPr>
          <w:rFonts w:eastAsia="Calibri" w:cs="Arial"/>
          <w:b/>
          <w:sz w:val="22"/>
          <w:szCs w:val="22"/>
          <w:lang w:val="fr-CH" w:eastAsia="en-US"/>
        </w:rPr>
        <w:t xml:space="preserve">Mesurer le taux d’anticorps </w:t>
      </w:r>
      <w:proofErr w:type="spellStart"/>
      <w:r w:rsidRPr="00AF7882">
        <w:rPr>
          <w:rFonts w:eastAsia="Calibri" w:cs="Arial"/>
          <w:b/>
          <w:sz w:val="22"/>
          <w:szCs w:val="22"/>
          <w:lang w:val="fr-CH" w:eastAsia="en-US"/>
        </w:rPr>
        <w:t>IgG</w:t>
      </w:r>
      <w:proofErr w:type="spellEnd"/>
      <w:r w:rsidRPr="00AF7882">
        <w:rPr>
          <w:rFonts w:eastAsia="Calibri" w:cs="Arial"/>
          <w:b/>
          <w:sz w:val="22"/>
          <w:szCs w:val="22"/>
          <w:lang w:val="fr-CH" w:eastAsia="en-US"/>
        </w:rPr>
        <w:t xml:space="preserve"> anti-rougeole.</w:t>
      </w:r>
    </w:p>
    <w:p w:rsidR="00AF7882" w:rsidRPr="00AF7882" w:rsidRDefault="00AF7882" w:rsidP="00C11FCD">
      <w:pPr>
        <w:numPr>
          <w:ilvl w:val="3"/>
          <w:numId w:val="8"/>
        </w:numPr>
        <w:tabs>
          <w:tab w:val="clear" w:pos="2880"/>
          <w:tab w:val="num" w:pos="2268"/>
          <w:tab w:val="left" w:pos="6804"/>
          <w:tab w:val="left" w:pos="9639"/>
        </w:tabs>
        <w:overflowPunct w:val="0"/>
        <w:autoSpaceDE w:val="0"/>
        <w:autoSpaceDN w:val="0"/>
        <w:adjustRightInd w:val="0"/>
        <w:spacing w:before="20" w:after="20"/>
        <w:ind w:left="2268" w:right="170"/>
        <w:jc w:val="both"/>
        <w:textAlignment w:val="baseline"/>
        <w:rPr>
          <w:rFonts w:eastAsia="Calibri" w:cs="Arial"/>
          <w:sz w:val="22"/>
          <w:szCs w:val="22"/>
          <w:lang w:val="fr-CH" w:eastAsia="en-US"/>
        </w:rPr>
      </w:pPr>
      <w:r w:rsidRPr="00AF7882">
        <w:rPr>
          <w:rFonts w:eastAsia="Calibri" w:cs="Arial"/>
          <w:sz w:val="22"/>
          <w:szCs w:val="22"/>
          <w:u w:val="single"/>
          <w:lang w:val="fr-CH" w:eastAsia="en-US"/>
        </w:rPr>
        <w:t>si anticorps présents </w:t>
      </w:r>
      <w:r w:rsidRPr="00AF7882">
        <w:rPr>
          <w:rFonts w:eastAsia="Calibri" w:cs="Arial"/>
          <w:sz w:val="22"/>
          <w:szCs w:val="22"/>
          <w:lang w:val="fr-CH" w:eastAsia="en-US"/>
        </w:rPr>
        <w:t>: pas de mesures immédiates, prévoir la vaccination : 1</w:t>
      </w:r>
      <w:r w:rsidRPr="00AF7882">
        <w:rPr>
          <w:rFonts w:eastAsia="Calibri" w:cs="Arial"/>
          <w:sz w:val="22"/>
          <w:szCs w:val="22"/>
          <w:vertAlign w:val="superscript"/>
          <w:lang w:val="fr-CH" w:eastAsia="en-US"/>
        </w:rPr>
        <w:t>ère</w:t>
      </w:r>
      <w:r w:rsidRPr="00AF7882">
        <w:rPr>
          <w:rFonts w:eastAsia="Calibri" w:cs="Arial"/>
          <w:sz w:val="22"/>
          <w:szCs w:val="22"/>
          <w:lang w:val="fr-CH" w:eastAsia="en-US"/>
        </w:rPr>
        <w:t xml:space="preserve">  dose à 9 mois et 2</w:t>
      </w:r>
      <w:r w:rsidRPr="00AF7882">
        <w:rPr>
          <w:rFonts w:eastAsia="Calibri" w:cs="Arial"/>
          <w:sz w:val="22"/>
          <w:szCs w:val="22"/>
          <w:vertAlign w:val="superscript"/>
          <w:lang w:val="fr-CH" w:eastAsia="en-US"/>
        </w:rPr>
        <w:t>ème</w:t>
      </w:r>
      <w:r w:rsidRPr="00AF7882">
        <w:rPr>
          <w:rFonts w:eastAsia="Calibri" w:cs="Arial"/>
          <w:sz w:val="22"/>
          <w:szCs w:val="22"/>
          <w:lang w:val="fr-CH" w:eastAsia="en-US"/>
        </w:rPr>
        <w:t xml:space="preserve"> dose à 12 mois.</w:t>
      </w:r>
    </w:p>
    <w:p w:rsidR="00AF7882" w:rsidRDefault="00AF7882" w:rsidP="00C11FCD">
      <w:pPr>
        <w:numPr>
          <w:ilvl w:val="3"/>
          <w:numId w:val="8"/>
        </w:numPr>
        <w:tabs>
          <w:tab w:val="clear" w:pos="2880"/>
          <w:tab w:val="num" w:pos="2268"/>
          <w:tab w:val="left" w:pos="6804"/>
          <w:tab w:val="left" w:pos="9639"/>
        </w:tabs>
        <w:overflowPunct w:val="0"/>
        <w:autoSpaceDE w:val="0"/>
        <w:autoSpaceDN w:val="0"/>
        <w:adjustRightInd w:val="0"/>
        <w:spacing w:before="20" w:after="20"/>
        <w:ind w:left="2268" w:right="170" w:hanging="357"/>
        <w:jc w:val="both"/>
        <w:textAlignment w:val="baseline"/>
        <w:rPr>
          <w:rFonts w:eastAsia="Calibri" w:cs="Arial"/>
          <w:sz w:val="22"/>
          <w:szCs w:val="22"/>
          <w:lang w:val="fr-CH" w:eastAsia="en-US"/>
        </w:rPr>
      </w:pPr>
      <w:r w:rsidRPr="00AF7882">
        <w:rPr>
          <w:rFonts w:eastAsia="Calibri" w:cs="Arial"/>
          <w:sz w:val="22"/>
          <w:szCs w:val="22"/>
          <w:u w:val="single"/>
          <w:lang w:val="fr-CH" w:eastAsia="en-US"/>
        </w:rPr>
        <w:t>Si anticorps absents :</w:t>
      </w:r>
      <w:r w:rsidRPr="00AF7882">
        <w:rPr>
          <w:rFonts w:eastAsia="Calibri" w:cs="Arial"/>
          <w:sz w:val="22"/>
          <w:szCs w:val="22"/>
          <w:lang w:val="fr-CH" w:eastAsia="en-US"/>
        </w:rPr>
        <w:t xml:space="preserve"> Y-globuline standard (0,4 g/kg perfusion iv). Vaccination au plus tôt 6 mois après le traitement iv d’y-globulines, </w:t>
      </w:r>
      <w:r w:rsidRPr="00AF7882">
        <w:rPr>
          <w:rFonts w:eastAsia="Calibri" w:cs="Arial"/>
          <w:sz w:val="22"/>
          <w:szCs w:val="22"/>
          <w:lang w:val="fr-CH" w:eastAsia="en-US"/>
        </w:rPr>
        <w:lastRenderedPageBreak/>
        <w:t>2</w:t>
      </w:r>
      <w:r w:rsidRPr="00AF7882">
        <w:rPr>
          <w:rFonts w:eastAsia="Calibri" w:cs="Arial"/>
          <w:sz w:val="22"/>
          <w:szCs w:val="22"/>
          <w:vertAlign w:val="superscript"/>
          <w:lang w:val="fr-CH" w:eastAsia="en-US"/>
        </w:rPr>
        <w:t>ème</w:t>
      </w:r>
      <w:r w:rsidRPr="00AF7882">
        <w:rPr>
          <w:rFonts w:eastAsia="Calibri" w:cs="Arial"/>
          <w:sz w:val="22"/>
          <w:szCs w:val="22"/>
          <w:lang w:val="fr-CH" w:eastAsia="en-US"/>
        </w:rPr>
        <w:t xml:space="preserve"> dose à 12 mois mais au plus tôt 1 mois après dose précédente. </w:t>
      </w:r>
      <w:bookmarkStart w:id="0" w:name="OLE_LINK1"/>
      <w:bookmarkStart w:id="1" w:name="OLE_LINK2"/>
      <w:r w:rsidRPr="00AF7882">
        <w:rPr>
          <w:rFonts w:eastAsia="Calibri" w:cs="Arial"/>
          <w:sz w:val="22"/>
          <w:szCs w:val="22"/>
          <w:lang w:val="fr-CH" w:eastAsia="en-US"/>
        </w:rPr>
        <w:t>Eviction des lieux de garde (crèche, maman de jour) à prévoir</w:t>
      </w:r>
      <w:bookmarkEnd w:id="0"/>
      <w:bookmarkEnd w:id="1"/>
      <w:r w:rsidRPr="00AF7882">
        <w:rPr>
          <w:rFonts w:eastAsia="Calibri" w:cs="Arial"/>
          <w:sz w:val="22"/>
          <w:szCs w:val="22"/>
          <w:lang w:val="fr-CH" w:eastAsia="en-US"/>
        </w:rPr>
        <w:t>.</w:t>
      </w:r>
    </w:p>
    <w:p w:rsidR="009C3CA9" w:rsidRPr="00AF7882" w:rsidRDefault="009C3CA9" w:rsidP="009C3CA9">
      <w:pPr>
        <w:tabs>
          <w:tab w:val="left" w:pos="6804"/>
          <w:tab w:val="left" w:pos="9639"/>
        </w:tabs>
        <w:overflowPunct w:val="0"/>
        <w:autoSpaceDE w:val="0"/>
        <w:autoSpaceDN w:val="0"/>
        <w:adjustRightInd w:val="0"/>
        <w:spacing w:before="20" w:after="20"/>
        <w:ind w:right="170"/>
        <w:jc w:val="both"/>
        <w:textAlignment w:val="baseline"/>
        <w:rPr>
          <w:rFonts w:eastAsia="Calibri" w:cs="Arial"/>
          <w:sz w:val="22"/>
          <w:szCs w:val="22"/>
          <w:lang w:val="fr-CH" w:eastAsia="en-US"/>
        </w:rPr>
      </w:pPr>
    </w:p>
    <w:p w:rsidR="00AF7882" w:rsidRPr="00AF7882" w:rsidRDefault="00AF7882" w:rsidP="008C1971">
      <w:pPr>
        <w:numPr>
          <w:ilvl w:val="0"/>
          <w:numId w:val="7"/>
        </w:numPr>
        <w:tabs>
          <w:tab w:val="left" w:pos="6804"/>
          <w:tab w:val="left" w:pos="9639"/>
        </w:tabs>
        <w:overflowPunct w:val="0"/>
        <w:autoSpaceDE w:val="0"/>
        <w:autoSpaceDN w:val="0"/>
        <w:adjustRightInd w:val="0"/>
        <w:spacing w:before="120" w:after="60" w:line="276" w:lineRule="auto"/>
        <w:ind w:right="170"/>
        <w:contextualSpacing/>
        <w:jc w:val="both"/>
        <w:textAlignment w:val="baseline"/>
        <w:rPr>
          <w:rFonts w:eastAsia="Calibri" w:cs="Arial"/>
          <w:b/>
          <w:sz w:val="22"/>
          <w:szCs w:val="22"/>
          <w:lang w:val="fr-CH" w:eastAsia="en-US"/>
        </w:rPr>
      </w:pPr>
      <w:r w:rsidRPr="00AF7882">
        <w:rPr>
          <w:rFonts w:eastAsia="Calibri" w:cs="Arial"/>
          <w:b/>
          <w:sz w:val="22"/>
          <w:szCs w:val="22"/>
          <w:lang w:val="fr-CH" w:eastAsia="en-US"/>
        </w:rPr>
        <w:t>Enfant à risque de 6-11 mois :</w:t>
      </w:r>
    </w:p>
    <w:p w:rsidR="00AF7882" w:rsidRPr="00AF7882" w:rsidRDefault="00AF7882" w:rsidP="009C3CA9">
      <w:pPr>
        <w:numPr>
          <w:ilvl w:val="2"/>
          <w:numId w:val="4"/>
        </w:numPr>
        <w:tabs>
          <w:tab w:val="left" w:pos="6804"/>
          <w:tab w:val="left" w:pos="9639"/>
        </w:tabs>
        <w:overflowPunct w:val="0"/>
        <w:autoSpaceDE w:val="0"/>
        <w:autoSpaceDN w:val="0"/>
        <w:adjustRightInd w:val="0"/>
        <w:spacing w:before="120" w:after="60" w:line="276" w:lineRule="auto"/>
        <w:ind w:left="1843" w:right="170"/>
        <w:contextualSpacing/>
        <w:jc w:val="both"/>
        <w:textAlignment w:val="baseline"/>
        <w:rPr>
          <w:rFonts w:eastAsia="Calibri" w:cs="Arial"/>
          <w:sz w:val="22"/>
          <w:szCs w:val="22"/>
          <w:lang w:val="fr-CH" w:eastAsia="en-US"/>
        </w:rPr>
      </w:pPr>
      <w:r w:rsidRPr="00AF7882">
        <w:rPr>
          <w:rFonts w:eastAsia="Calibri" w:cs="Arial"/>
          <w:b/>
          <w:sz w:val="22"/>
          <w:szCs w:val="22"/>
          <w:lang w:val="fr-CH" w:eastAsia="en-US"/>
        </w:rPr>
        <w:t>Contrôler la couverture vaccinale de la rougeole</w:t>
      </w:r>
      <w:r w:rsidRPr="00AF7882">
        <w:rPr>
          <w:rFonts w:eastAsia="Calibri" w:cs="Arial"/>
          <w:sz w:val="22"/>
          <w:szCs w:val="22"/>
          <w:lang w:val="fr-CH" w:eastAsia="en-US"/>
        </w:rPr>
        <w:t> :</w:t>
      </w:r>
    </w:p>
    <w:p w:rsidR="00AF7882" w:rsidRPr="00AF7882" w:rsidRDefault="00AF7882" w:rsidP="009C3CA9">
      <w:pPr>
        <w:numPr>
          <w:ilvl w:val="0"/>
          <w:numId w:val="9"/>
        </w:numPr>
        <w:tabs>
          <w:tab w:val="left" w:pos="6804"/>
          <w:tab w:val="left" w:pos="9639"/>
        </w:tabs>
        <w:overflowPunct w:val="0"/>
        <w:autoSpaceDE w:val="0"/>
        <w:autoSpaceDN w:val="0"/>
        <w:adjustRightInd w:val="0"/>
        <w:spacing w:before="20" w:after="20"/>
        <w:ind w:left="2268" w:right="170"/>
        <w:jc w:val="both"/>
        <w:textAlignment w:val="baseline"/>
        <w:rPr>
          <w:rFonts w:eastAsia="Calibri" w:cs="Arial"/>
          <w:sz w:val="22"/>
          <w:szCs w:val="22"/>
          <w:lang w:val="fr-CH" w:eastAsia="en-US"/>
        </w:rPr>
      </w:pPr>
      <w:r w:rsidRPr="00AF7882">
        <w:rPr>
          <w:rFonts w:eastAsia="Calibri" w:cs="Arial"/>
          <w:sz w:val="22"/>
          <w:szCs w:val="22"/>
          <w:lang w:val="fr-CH" w:eastAsia="en-US"/>
        </w:rPr>
        <w:t xml:space="preserve">A reçu 1 dose : </w:t>
      </w:r>
      <w:r w:rsidRPr="00AF7882">
        <w:rPr>
          <w:rFonts w:eastAsia="Calibri" w:cs="Arial"/>
          <w:sz w:val="22"/>
          <w:szCs w:val="22"/>
          <w:u w:val="single"/>
          <w:lang w:val="fr-CH" w:eastAsia="en-US"/>
        </w:rPr>
        <w:t>pas de mesures immédiates</w:t>
      </w:r>
      <w:r w:rsidRPr="00AF7882">
        <w:rPr>
          <w:rFonts w:eastAsia="Calibri" w:cs="Arial"/>
          <w:sz w:val="22"/>
          <w:szCs w:val="22"/>
          <w:lang w:val="fr-CH" w:eastAsia="en-US"/>
        </w:rPr>
        <w:t xml:space="preserve"> et </w:t>
      </w:r>
      <w:r w:rsidRPr="00AF7882">
        <w:rPr>
          <w:rFonts w:eastAsia="Calibri" w:cs="Arial"/>
          <w:sz w:val="22"/>
          <w:szCs w:val="22"/>
          <w:u w:val="single"/>
          <w:lang w:val="fr-CH" w:eastAsia="en-US"/>
        </w:rPr>
        <w:t>vaccination de la 2</w:t>
      </w:r>
      <w:r w:rsidRPr="00AF7882">
        <w:rPr>
          <w:rFonts w:eastAsia="Calibri" w:cs="Arial"/>
          <w:sz w:val="22"/>
          <w:szCs w:val="22"/>
          <w:u w:val="single"/>
          <w:vertAlign w:val="superscript"/>
          <w:lang w:val="fr-CH" w:eastAsia="en-US"/>
        </w:rPr>
        <w:t>ème</w:t>
      </w:r>
      <w:r w:rsidRPr="00AF7882">
        <w:rPr>
          <w:rFonts w:eastAsia="Calibri" w:cs="Arial"/>
          <w:sz w:val="22"/>
          <w:szCs w:val="22"/>
          <w:u w:val="single"/>
          <w:lang w:val="fr-CH" w:eastAsia="en-US"/>
        </w:rPr>
        <w:t xml:space="preserve"> dose à 12 mois</w:t>
      </w:r>
      <w:r w:rsidRPr="00AF7882">
        <w:rPr>
          <w:rFonts w:eastAsia="Calibri" w:cs="Arial"/>
          <w:sz w:val="22"/>
          <w:szCs w:val="22"/>
          <w:lang w:val="fr-CH" w:eastAsia="en-US"/>
        </w:rPr>
        <w:t xml:space="preserve"> mais au plus tôt 1 mois après dose précédente.</w:t>
      </w:r>
    </w:p>
    <w:p w:rsidR="00AF7882" w:rsidRPr="00AF7882" w:rsidRDefault="00AF7882" w:rsidP="009C3CA9">
      <w:pPr>
        <w:numPr>
          <w:ilvl w:val="0"/>
          <w:numId w:val="9"/>
        </w:numPr>
        <w:tabs>
          <w:tab w:val="left" w:pos="6804"/>
          <w:tab w:val="left" w:pos="9639"/>
        </w:tabs>
        <w:overflowPunct w:val="0"/>
        <w:autoSpaceDE w:val="0"/>
        <w:autoSpaceDN w:val="0"/>
        <w:adjustRightInd w:val="0"/>
        <w:spacing w:before="20" w:after="20"/>
        <w:ind w:left="2268" w:right="170"/>
        <w:jc w:val="both"/>
        <w:textAlignment w:val="baseline"/>
        <w:rPr>
          <w:rFonts w:eastAsia="Calibri" w:cs="Arial"/>
          <w:sz w:val="22"/>
          <w:szCs w:val="22"/>
          <w:lang w:val="fr-CH" w:eastAsia="en-US"/>
        </w:rPr>
      </w:pPr>
      <w:r w:rsidRPr="00AF7882">
        <w:rPr>
          <w:rFonts w:eastAsia="Calibri" w:cs="Arial"/>
          <w:sz w:val="22"/>
          <w:szCs w:val="22"/>
          <w:lang w:val="fr-CH" w:eastAsia="en-US"/>
        </w:rPr>
        <w:t xml:space="preserve">Non vacciné : </w:t>
      </w:r>
      <w:r w:rsidRPr="00AF7882">
        <w:rPr>
          <w:rFonts w:eastAsia="Calibri" w:cs="Arial"/>
          <w:sz w:val="22"/>
          <w:szCs w:val="22"/>
          <w:u w:val="single"/>
          <w:lang w:val="fr-CH" w:eastAsia="en-US"/>
        </w:rPr>
        <w:t>prescrire la 1</w:t>
      </w:r>
      <w:r w:rsidRPr="00AF7882">
        <w:rPr>
          <w:rFonts w:eastAsia="Calibri" w:cs="Arial"/>
          <w:sz w:val="22"/>
          <w:szCs w:val="22"/>
          <w:u w:val="single"/>
          <w:vertAlign w:val="superscript"/>
          <w:lang w:val="fr-CH" w:eastAsia="en-US"/>
        </w:rPr>
        <w:t>ère</w:t>
      </w:r>
      <w:r w:rsidRPr="00AF7882">
        <w:rPr>
          <w:rFonts w:eastAsia="Calibri" w:cs="Arial"/>
          <w:sz w:val="22"/>
          <w:szCs w:val="22"/>
          <w:u w:val="single"/>
          <w:lang w:val="fr-CH" w:eastAsia="en-US"/>
        </w:rPr>
        <w:t xml:space="preserve"> dose dans &lt; 72 h</w:t>
      </w:r>
      <w:r w:rsidRPr="00AF7882">
        <w:rPr>
          <w:rFonts w:eastAsia="Calibri" w:cs="Arial"/>
          <w:sz w:val="22"/>
          <w:szCs w:val="22"/>
          <w:lang w:val="fr-CH" w:eastAsia="en-US"/>
        </w:rPr>
        <w:t xml:space="preserve"> après la 1</w:t>
      </w:r>
      <w:r w:rsidRPr="00AF7882">
        <w:rPr>
          <w:rFonts w:eastAsia="Calibri" w:cs="Arial"/>
          <w:sz w:val="22"/>
          <w:szCs w:val="22"/>
          <w:vertAlign w:val="superscript"/>
          <w:lang w:val="fr-CH" w:eastAsia="en-US"/>
        </w:rPr>
        <w:t>ère</w:t>
      </w:r>
      <w:r w:rsidRPr="00AF7882">
        <w:rPr>
          <w:rFonts w:eastAsia="Calibri" w:cs="Arial"/>
          <w:sz w:val="22"/>
          <w:szCs w:val="22"/>
          <w:lang w:val="fr-CH" w:eastAsia="en-US"/>
        </w:rPr>
        <w:t xml:space="preserve"> exposition et la 2</w:t>
      </w:r>
      <w:r w:rsidRPr="00AF7882">
        <w:rPr>
          <w:rFonts w:eastAsia="Calibri" w:cs="Arial"/>
          <w:sz w:val="22"/>
          <w:szCs w:val="22"/>
          <w:vertAlign w:val="superscript"/>
          <w:lang w:val="fr-CH" w:eastAsia="en-US"/>
        </w:rPr>
        <w:t>ème</w:t>
      </w:r>
      <w:r w:rsidRPr="00AF7882">
        <w:rPr>
          <w:rFonts w:eastAsia="Calibri" w:cs="Arial"/>
          <w:sz w:val="22"/>
          <w:szCs w:val="22"/>
          <w:lang w:val="fr-CH" w:eastAsia="en-US"/>
        </w:rPr>
        <w:t xml:space="preserve"> dose à 12 mois mais au plus tôt 1 mois après dose précédente.</w:t>
      </w:r>
    </w:p>
    <w:p w:rsidR="00AF7882" w:rsidRPr="00AF7882" w:rsidRDefault="00AF7882" w:rsidP="009C3CA9">
      <w:pPr>
        <w:numPr>
          <w:ilvl w:val="0"/>
          <w:numId w:val="9"/>
        </w:numPr>
        <w:tabs>
          <w:tab w:val="left" w:pos="6804"/>
          <w:tab w:val="left" w:pos="9639"/>
        </w:tabs>
        <w:overflowPunct w:val="0"/>
        <w:autoSpaceDE w:val="0"/>
        <w:autoSpaceDN w:val="0"/>
        <w:adjustRightInd w:val="0"/>
        <w:spacing w:before="20" w:after="20"/>
        <w:ind w:left="2268" w:right="170" w:hanging="357"/>
        <w:jc w:val="both"/>
        <w:textAlignment w:val="baseline"/>
        <w:rPr>
          <w:rFonts w:eastAsia="Calibri" w:cs="Arial"/>
          <w:sz w:val="22"/>
          <w:szCs w:val="22"/>
          <w:lang w:val="fr-CH" w:eastAsia="en-US"/>
        </w:rPr>
      </w:pPr>
      <w:r w:rsidRPr="00AF7882">
        <w:rPr>
          <w:rFonts w:eastAsia="Calibri" w:cs="Arial"/>
          <w:sz w:val="22"/>
          <w:szCs w:val="22"/>
          <w:u w:val="single"/>
          <w:lang w:val="fr-CH" w:eastAsia="en-US"/>
        </w:rPr>
        <w:t>Eviction des lieux de garde</w:t>
      </w:r>
      <w:r w:rsidRPr="00AF7882">
        <w:rPr>
          <w:rFonts w:eastAsia="Calibri" w:cs="Arial"/>
          <w:sz w:val="22"/>
          <w:szCs w:val="22"/>
          <w:lang w:val="fr-CH" w:eastAsia="en-US"/>
        </w:rPr>
        <w:t xml:space="preserve"> (crèche, maman de jour) à prévoir si prescription de la 1</w:t>
      </w:r>
      <w:r w:rsidRPr="00AF7882">
        <w:rPr>
          <w:rFonts w:eastAsia="Calibri" w:cs="Arial"/>
          <w:sz w:val="22"/>
          <w:szCs w:val="22"/>
          <w:vertAlign w:val="superscript"/>
          <w:lang w:val="fr-CH" w:eastAsia="en-US"/>
        </w:rPr>
        <w:t>ère</w:t>
      </w:r>
      <w:r w:rsidRPr="00AF7882">
        <w:rPr>
          <w:rFonts w:eastAsia="Calibri" w:cs="Arial"/>
          <w:sz w:val="22"/>
          <w:szCs w:val="22"/>
          <w:lang w:val="fr-CH" w:eastAsia="en-US"/>
        </w:rPr>
        <w:t xml:space="preserve"> dose du vaccin après &gt; 72h post-exposition.</w:t>
      </w:r>
    </w:p>
    <w:p w:rsidR="00AF7882" w:rsidRPr="00AF7882" w:rsidRDefault="00AF7882" w:rsidP="009C3CA9">
      <w:pPr>
        <w:numPr>
          <w:ilvl w:val="0"/>
          <w:numId w:val="7"/>
        </w:numPr>
        <w:tabs>
          <w:tab w:val="left" w:pos="6804"/>
          <w:tab w:val="left" w:pos="9639"/>
        </w:tabs>
        <w:overflowPunct w:val="0"/>
        <w:autoSpaceDE w:val="0"/>
        <w:autoSpaceDN w:val="0"/>
        <w:adjustRightInd w:val="0"/>
        <w:spacing w:before="120" w:after="60" w:line="276" w:lineRule="auto"/>
        <w:ind w:left="1434" w:right="170" w:hanging="357"/>
        <w:jc w:val="both"/>
        <w:textAlignment w:val="baseline"/>
        <w:rPr>
          <w:rFonts w:eastAsia="Calibri" w:cs="Arial"/>
          <w:b/>
          <w:sz w:val="22"/>
          <w:szCs w:val="22"/>
          <w:lang w:val="fr-CH" w:eastAsia="en-US"/>
        </w:rPr>
      </w:pPr>
      <w:r w:rsidRPr="00AF7882">
        <w:rPr>
          <w:rFonts w:eastAsia="Calibri" w:cs="Arial"/>
          <w:b/>
          <w:sz w:val="22"/>
          <w:szCs w:val="22"/>
          <w:lang w:val="fr-CH" w:eastAsia="en-US"/>
        </w:rPr>
        <w:t>Sujet à risque &gt; 12 mois et né&gt; 1964</w:t>
      </w:r>
    </w:p>
    <w:p w:rsidR="00AF7882" w:rsidRPr="00AF7882" w:rsidRDefault="00AF7882" w:rsidP="009C3CA9">
      <w:pPr>
        <w:numPr>
          <w:ilvl w:val="2"/>
          <w:numId w:val="4"/>
        </w:numPr>
        <w:tabs>
          <w:tab w:val="left" w:pos="6804"/>
          <w:tab w:val="left" w:pos="9639"/>
        </w:tabs>
        <w:overflowPunct w:val="0"/>
        <w:autoSpaceDE w:val="0"/>
        <w:autoSpaceDN w:val="0"/>
        <w:adjustRightInd w:val="0"/>
        <w:spacing w:before="120" w:after="60" w:line="276" w:lineRule="auto"/>
        <w:ind w:left="1843" w:right="170"/>
        <w:contextualSpacing/>
        <w:jc w:val="both"/>
        <w:textAlignment w:val="baseline"/>
        <w:rPr>
          <w:rFonts w:eastAsia="Calibri" w:cs="Arial"/>
          <w:sz w:val="22"/>
          <w:szCs w:val="22"/>
          <w:lang w:val="en-US" w:eastAsia="en-US"/>
        </w:rPr>
      </w:pPr>
      <w:proofErr w:type="spellStart"/>
      <w:r w:rsidRPr="00AF7882">
        <w:rPr>
          <w:rFonts w:eastAsia="Calibri" w:cs="Arial"/>
          <w:b/>
          <w:sz w:val="22"/>
          <w:szCs w:val="22"/>
          <w:lang w:val="en-US" w:eastAsia="en-US"/>
        </w:rPr>
        <w:t>Evaluer</w:t>
      </w:r>
      <w:proofErr w:type="spellEnd"/>
      <w:r w:rsidRPr="00AF7882">
        <w:rPr>
          <w:rFonts w:eastAsia="Calibri" w:cs="Arial"/>
          <w:b/>
          <w:sz w:val="22"/>
          <w:szCs w:val="22"/>
          <w:lang w:val="en-US" w:eastAsia="en-US"/>
        </w:rPr>
        <w:t xml:space="preserve"> </w:t>
      </w:r>
      <w:proofErr w:type="spellStart"/>
      <w:r w:rsidRPr="00AF7882">
        <w:rPr>
          <w:rFonts w:eastAsia="Calibri" w:cs="Arial"/>
          <w:b/>
          <w:sz w:val="22"/>
          <w:szCs w:val="22"/>
          <w:lang w:val="en-US" w:eastAsia="en-US"/>
        </w:rPr>
        <w:t>antécédents</w:t>
      </w:r>
      <w:proofErr w:type="spellEnd"/>
      <w:r w:rsidRPr="00AF7882">
        <w:rPr>
          <w:rFonts w:eastAsia="Calibri" w:cs="Arial"/>
          <w:b/>
          <w:sz w:val="22"/>
          <w:szCs w:val="22"/>
          <w:lang w:val="en-US" w:eastAsia="en-US"/>
        </w:rPr>
        <w:t xml:space="preserve"> </w:t>
      </w:r>
      <w:proofErr w:type="spellStart"/>
      <w:r w:rsidRPr="00AF7882">
        <w:rPr>
          <w:rFonts w:eastAsia="Calibri" w:cs="Arial"/>
          <w:b/>
          <w:sz w:val="22"/>
          <w:szCs w:val="22"/>
          <w:lang w:val="en-US" w:eastAsia="en-US"/>
        </w:rPr>
        <w:t>vaccinaux</w:t>
      </w:r>
      <w:proofErr w:type="spellEnd"/>
      <w:r w:rsidRPr="00AF7882">
        <w:rPr>
          <w:rFonts w:eastAsia="Calibri" w:cs="Arial"/>
          <w:b/>
          <w:sz w:val="22"/>
          <w:szCs w:val="22"/>
          <w:lang w:val="en-US" w:eastAsia="en-US"/>
        </w:rPr>
        <w:t xml:space="preserve"> « </w:t>
      </w:r>
      <w:proofErr w:type="spellStart"/>
      <w:r w:rsidRPr="00AF7882">
        <w:rPr>
          <w:rFonts w:eastAsia="Calibri" w:cs="Arial"/>
          <w:b/>
          <w:sz w:val="22"/>
          <w:szCs w:val="22"/>
          <w:lang w:val="en-US" w:eastAsia="en-US"/>
        </w:rPr>
        <w:t>rougeole</w:t>
      </w:r>
      <w:proofErr w:type="spellEnd"/>
      <w:r w:rsidRPr="00AF7882">
        <w:rPr>
          <w:rFonts w:eastAsia="Calibri" w:cs="Arial"/>
          <w:b/>
          <w:sz w:val="22"/>
          <w:szCs w:val="22"/>
          <w:lang w:val="en-US" w:eastAsia="en-US"/>
        </w:rPr>
        <w:t> »</w:t>
      </w:r>
      <w:r w:rsidRPr="00AF7882">
        <w:rPr>
          <w:rFonts w:eastAsia="Calibri" w:cs="Arial"/>
          <w:sz w:val="22"/>
          <w:szCs w:val="22"/>
          <w:lang w:val="en-US" w:eastAsia="en-US"/>
        </w:rPr>
        <w:t> :</w:t>
      </w:r>
    </w:p>
    <w:p w:rsidR="00AF7882" w:rsidRPr="00AF7882" w:rsidRDefault="00AF7882" w:rsidP="009C3CA9">
      <w:pPr>
        <w:numPr>
          <w:ilvl w:val="0"/>
          <w:numId w:val="10"/>
        </w:numPr>
        <w:tabs>
          <w:tab w:val="left" w:pos="6804"/>
          <w:tab w:val="left" w:pos="9639"/>
        </w:tabs>
        <w:overflowPunct w:val="0"/>
        <w:autoSpaceDE w:val="0"/>
        <w:autoSpaceDN w:val="0"/>
        <w:adjustRightInd w:val="0"/>
        <w:spacing w:before="120" w:after="60" w:line="276" w:lineRule="auto"/>
        <w:ind w:left="2268" w:right="170"/>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1 dose de vaccin: vaccination de la 2</w:t>
      </w:r>
      <w:r w:rsidRPr="00AF7882">
        <w:rPr>
          <w:rFonts w:eastAsia="Calibri" w:cs="Arial"/>
          <w:sz w:val="22"/>
          <w:szCs w:val="22"/>
          <w:vertAlign w:val="superscript"/>
          <w:lang w:val="fr-CH" w:eastAsia="en-US"/>
        </w:rPr>
        <w:t>ème</w:t>
      </w:r>
      <w:r w:rsidRPr="00AF7882">
        <w:rPr>
          <w:rFonts w:eastAsia="Calibri" w:cs="Arial"/>
          <w:sz w:val="22"/>
          <w:szCs w:val="22"/>
          <w:lang w:val="fr-CH" w:eastAsia="en-US"/>
        </w:rPr>
        <w:t xml:space="preserve"> dose &lt;72h.</w:t>
      </w:r>
    </w:p>
    <w:p w:rsidR="00AF7882" w:rsidRPr="00AF7882" w:rsidRDefault="00AF7882" w:rsidP="009C3CA9">
      <w:pPr>
        <w:numPr>
          <w:ilvl w:val="0"/>
          <w:numId w:val="10"/>
        </w:numPr>
        <w:tabs>
          <w:tab w:val="left" w:pos="6804"/>
          <w:tab w:val="left" w:pos="9639"/>
        </w:tabs>
        <w:overflowPunct w:val="0"/>
        <w:autoSpaceDE w:val="0"/>
        <w:autoSpaceDN w:val="0"/>
        <w:adjustRightInd w:val="0"/>
        <w:spacing w:before="120" w:after="60" w:line="276" w:lineRule="auto"/>
        <w:ind w:left="2268" w:right="170"/>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Non vacciné : vaccination 1</w:t>
      </w:r>
      <w:r w:rsidRPr="00AF7882">
        <w:rPr>
          <w:rFonts w:eastAsia="Calibri" w:cs="Arial"/>
          <w:sz w:val="22"/>
          <w:szCs w:val="22"/>
          <w:vertAlign w:val="superscript"/>
          <w:lang w:val="fr-CH" w:eastAsia="en-US"/>
        </w:rPr>
        <w:t>ère</w:t>
      </w:r>
      <w:r w:rsidRPr="00AF7882">
        <w:rPr>
          <w:rFonts w:eastAsia="Calibri" w:cs="Arial"/>
          <w:sz w:val="22"/>
          <w:szCs w:val="22"/>
          <w:lang w:val="fr-CH" w:eastAsia="en-US"/>
        </w:rPr>
        <w:t xml:space="preserve"> dose &lt; 72h et 2</w:t>
      </w:r>
      <w:r w:rsidRPr="00AF7882">
        <w:rPr>
          <w:rFonts w:eastAsia="Calibri" w:cs="Arial"/>
          <w:sz w:val="22"/>
          <w:szCs w:val="22"/>
          <w:vertAlign w:val="superscript"/>
          <w:lang w:val="fr-CH" w:eastAsia="en-US"/>
        </w:rPr>
        <w:t>ème</w:t>
      </w:r>
      <w:r w:rsidRPr="00AF7882">
        <w:rPr>
          <w:rFonts w:eastAsia="Calibri" w:cs="Arial"/>
          <w:sz w:val="22"/>
          <w:szCs w:val="22"/>
          <w:lang w:val="fr-CH" w:eastAsia="en-US"/>
        </w:rPr>
        <w:t xml:space="preserve"> dose 1 mois après la 1</w:t>
      </w:r>
      <w:r w:rsidRPr="00AF7882">
        <w:rPr>
          <w:rFonts w:eastAsia="Calibri" w:cs="Arial"/>
          <w:sz w:val="22"/>
          <w:szCs w:val="22"/>
          <w:vertAlign w:val="superscript"/>
          <w:lang w:val="fr-CH" w:eastAsia="en-US"/>
        </w:rPr>
        <w:t>ère</w:t>
      </w:r>
      <w:r w:rsidRPr="00AF7882">
        <w:rPr>
          <w:rFonts w:eastAsia="Calibri" w:cs="Arial"/>
          <w:sz w:val="22"/>
          <w:szCs w:val="22"/>
          <w:lang w:val="fr-CH" w:eastAsia="en-US"/>
        </w:rPr>
        <w:t xml:space="preserve"> dose.</w:t>
      </w:r>
    </w:p>
    <w:p w:rsidR="00AF7882" w:rsidRPr="00AF7882" w:rsidRDefault="00AF7882" w:rsidP="009C3CA9">
      <w:pPr>
        <w:numPr>
          <w:ilvl w:val="0"/>
          <w:numId w:val="10"/>
        </w:numPr>
        <w:tabs>
          <w:tab w:val="left" w:pos="6804"/>
          <w:tab w:val="left" w:pos="9639"/>
        </w:tabs>
        <w:overflowPunct w:val="0"/>
        <w:autoSpaceDE w:val="0"/>
        <w:autoSpaceDN w:val="0"/>
        <w:adjustRightInd w:val="0"/>
        <w:spacing w:before="120" w:after="60" w:line="276" w:lineRule="auto"/>
        <w:ind w:left="2268" w:right="170"/>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 xml:space="preserve">Eviction à prévoir des lieux collectifs (crèche, école, </w:t>
      </w:r>
      <w:proofErr w:type="spellStart"/>
      <w:r w:rsidRPr="00AF7882">
        <w:rPr>
          <w:rFonts w:eastAsia="Calibri" w:cs="Arial"/>
          <w:sz w:val="22"/>
          <w:szCs w:val="22"/>
          <w:lang w:val="fr-CH" w:eastAsia="en-US"/>
        </w:rPr>
        <w:t>etc</w:t>
      </w:r>
      <w:proofErr w:type="spellEnd"/>
      <w:r w:rsidRPr="00AF7882">
        <w:rPr>
          <w:rFonts w:eastAsia="Calibri" w:cs="Arial"/>
          <w:sz w:val="22"/>
          <w:szCs w:val="22"/>
          <w:lang w:val="fr-CH" w:eastAsia="en-US"/>
        </w:rPr>
        <w:t>) si prescription de la 1</w:t>
      </w:r>
      <w:r w:rsidRPr="00AF7882">
        <w:rPr>
          <w:rFonts w:eastAsia="Calibri" w:cs="Arial"/>
          <w:sz w:val="22"/>
          <w:szCs w:val="22"/>
          <w:vertAlign w:val="superscript"/>
          <w:lang w:val="fr-CH" w:eastAsia="en-US"/>
        </w:rPr>
        <w:t>ère</w:t>
      </w:r>
      <w:r w:rsidRPr="00AF7882">
        <w:rPr>
          <w:rFonts w:eastAsia="Calibri" w:cs="Arial"/>
          <w:sz w:val="22"/>
          <w:szCs w:val="22"/>
          <w:lang w:val="fr-CH" w:eastAsia="en-US"/>
        </w:rPr>
        <w:t xml:space="preserve"> dose du vaccin après &gt; 72h post-exposition</w:t>
      </w:r>
    </w:p>
    <w:p w:rsidR="00AF7882" w:rsidRPr="00AF7882" w:rsidRDefault="00AF7882" w:rsidP="009C3CA9">
      <w:pPr>
        <w:keepNext/>
        <w:numPr>
          <w:ilvl w:val="0"/>
          <w:numId w:val="7"/>
        </w:numPr>
        <w:tabs>
          <w:tab w:val="left" w:pos="6804"/>
          <w:tab w:val="left" w:pos="9639"/>
        </w:tabs>
        <w:overflowPunct w:val="0"/>
        <w:autoSpaceDE w:val="0"/>
        <w:autoSpaceDN w:val="0"/>
        <w:adjustRightInd w:val="0"/>
        <w:spacing w:before="120" w:after="60" w:line="276" w:lineRule="auto"/>
        <w:ind w:left="1434" w:right="170" w:hanging="357"/>
        <w:jc w:val="both"/>
        <w:textAlignment w:val="baseline"/>
        <w:rPr>
          <w:rFonts w:eastAsia="Calibri" w:cs="Arial"/>
          <w:b/>
          <w:sz w:val="22"/>
          <w:szCs w:val="22"/>
          <w:lang w:val="en-US" w:eastAsia="en-US"/>
        </w:rPr>
      </w:pPr>
      <w:r w:rsidRPr="00AF7882">
        <w:rPr>
          <w:rFonts w:eastAsia="Calibri" w:cs="Arial"/>
          <w:b/>
          <w:sz w:val="22"/>
          <w:szCs w:val="22"/>
          <w:lang w:val="en-US" w:eastAsia="en-US"/>
        </w:rPr>
        <w:t xml:space="preserve">Personnel </w:t>
      </w:r>
      <w:proofErr w:type="spellStart"/>
      <w:r w:rsidRPr="00AF7882">
        <w:rPr>
          <w:rFonts w:eastAsia="Calibri" w:cs="Arial"/>
          <w:b/>
          <w:sz w:val="22"/>
          <w:szCs w:val="22"/>
          <w:u w:val="single"/>
          <w:lang w:val="en-US" w:eastAsia="en-US"/>
        </w:rPr>
        <w:t>soignant</w:t>
      </w:r>
      <w:proofErr w:type="spellEnd"/>
      <w:r w:rsidRPr="00AF7882">
        <w:rPr>
          <w:rFonts w:eastAsia="Calibri" w:cs="Arial"/>
          <w:b/>
          <w:sz w:val="22"/>
          <w:szCs w:val="22"/>
          <w:u w:val="single"/>
          <w:lang w:val="en-US" w:eastAsia="en-US"/>
        </w:rPr>
        <w:t xml:space="preserve"> non </w:t>
      </w:r>
      <w:proofErr w:type="spellStart"/>
      <w:r w:rsidRPr="00AF7882">
        <w:rPr>
          <w:rFonts w:eastAsia="Calibri" w:cs="Arial"/>
          <w:b/>
          <w:sz w:val="22"/>
          <w:szCs w:val="22"/>
          <w:u w:val="single"/>
          <w:lang w:val="en-US" w:eastAsia="en-US"/>
        </w:rPr>
        <w:t>immun</w:t>
      </w:r>
      <w:proofErr w:type="spellEnd"/>
    </w:p>
    <w:p w:rsidR="00AF7882" w:rsidRPr="00AF7882" w:rsidRDefault="00AF7882" w:rsidP="009C3CA9">
      <w:pPr>
        <w:keepNext/>
        <w:numPr>
          <w:ilvl w:val="2"/>
          <w:numId w:val="4"/>
        </w:numPr>
        <w:tabs>
          <w:tab w:val="left" w:pos="6804"/>
          <w:tab w:val="left" w:pos="9639"/>
        </w:tabs>
        <w:overflowPunct w:val="0"/>
        <w:autoSpaceDE w:val="0"/>
        <w:autoSpaceDN w:val="0"/>
        <w:adjustRightInd w:val="0"/>
        <w:spacing w:before="120" w:after="60" w:line="276" w:lineRule="auto"/>
        <w:ind w:left="1843" w:right="170"/>
        <w:contextualSpacing/>
        <w:jc w:val="both"/>
        <w:textAlignment w:val="baseline"/>
        <w:rPr>
          <w:rFonts w:eastAsia="Calibri" w:cs="Arial"/>
          <w:b/>
          <w:sz w:val="22"/>
          <w:szCs w:val="22"/>
          <w:lang w:val="fr-CH" w:eastAsia="en-US"/>
        </w:rPr>
      </w:pPr>
      <w:r w:rsidRPr="00AF7882">
        <w:rPr>
          <w:rFonts w:eastAsia="Calibri" w:cs="Arial"/>
          <w:b/>
          <w:sz w:val="22"/>
          <w:szCs w:val="22"/>
          <w:lang w:val="fr-CH" w:eastAsia="en-US"/>
        </w:rPr>
        <w:t>Identifier le personnel soignant non immun (&lt; 2 doses de vaccin ou sérologie (</w:t>
      </w:r>
      <w:proofErr w:type="spellStart"/>
      <w:r w:rsidRPr="00AF7882">
        <w:rPr>
          <w:rFonts w:eastAsia="Calibri" w:cs="Arial"/>
          <w:b/>
          <w:sz w:val="22"/>
          <w:szCs w:val="22"/>
          <w:lang w:val="fr-CH" w:eastAsia="en-US"/>
        </w:rPr>
        <w:t>IgG</w:t>
      </w:r>
      <w:proofErr w:type="spellEnd"/>
      <w:r w:rsidRPr="00AF7882">
        <w:rPr>
          <w:rFonts w:eastAsia="Calibri" w:cs="Arial"/>
          <w:b/>
          <w:sz w:val="22"/>
          <w:szCs w:val="22"/>
          <w:lang w:val="fr-CH" w:eastAsia="en-US"/>
        </w:rPr>
        <w:t>) négative</w:t>
      </w:r>
    </w:p>
    <w:p w:rsidR="00AF7882" w:rsidRPr="00AF7882" w:rsidRDefault="00AF7882" w:rsidP="009C3CA9">
      <w:pPr>
        <w:keepNext/>
        <w:numPr>
          <w:ilvl w:val="0"/>
          <w:numId w:val="11"/>
        </w:numPr>
        <w:tabs>
          <w:tab w:val="left" w:pos="6804"/>
          <w:tab w:val="left" w:pos="9639"/>
        </w:tabs>
        <w:overflowPunct w:val="0"/>
        <w:autoSpaceDE w:val="0"/>
        <w:autoSpaceDN w:val="0"/>
        <w:adjustRightInd w:val="0"/>
        <w:spacing w:before="120" w:after="60" w:line="276" w:lineRule="auto"/>
        <w:ind w:left="2268" w:right="170" w:hanging="425"/>
        <w:contextualSpacing/>
        <w:jc w:val="both"/>
        <w:textAlignment w:val="baseline"/>
        <w:rPr>
          <w:rFonts w:eastAsia="Calibri" w:cs="Arial"/>
          <w:sz w:val="22"/>
          <w:szCs w:val="22"/>
          <w:lang w:val="fr-CH" w:eastAsia="en-US"/>
        </w:rPr>
      </w:pPr>
      <w:r w:rsidRPr="00AF7882">
        <w:rPr>
          <w:rFonts w:eastAsia="Calibri" w:cs="Arial"/>
          <w:sz w:val="22"/>
          <w:szCs w:val="22"/>
          <w:lang w:val="fr-CH" w:eastAsia="en-US"/>
        </w:rPr>
        <w:t>Envoyer la liste de ce personnel à la médecine du personnel (fax 40249). qui se chargera de prendre les mesures appropriées (vaccination 1</w:t>
      </w:r>
      <w:r w:rsidRPr="00AF7882">
        <w:rPr>
          <w:rFonts w:eastAsia="Calibri" w:cs="Arial"/>
          <w:sz w:val="22"/>
          <w:szCs w:val="22"/>
          <w:vertAlign w:val="superscript"/>
          <w:lang w:val="fr-CH" w:eastAsia="en-US"/>
        </w:rPr>
        <w:t>ère</w:t>
      </w:r>
      <w:r w:rsidRPr="00AF7882">
        <w:rPr>
          <w:rFonts w:eastAsia="Calibri" w:cs="Arial"/>
          <w:sz w:val="22"/>
          <w:szCs w:val="22"/>
          <w:lang w:val="fr-CH" w:eastAsia="en-US"/>
        </w:rPr>
        <w:t xml:space="preserve"> dose &lt; 72h et 2</w:t>
      </w:r>
      <w:r w:rsidRPr="00AF7882">
        <w:rPr>
          <w:rFonts w:eastAsia="Calibri" w:cs="Arial"/>
          <w:sz w:val="22"/>
          <w:szCs w:val="22"/>
          <w:vertAlign w:val="superscript"/>
          <w:lang w:val="fr-CH" w:eastAsia="en-US"/>
        </w:rPr>
        <w:t>ème</w:t>
      </w:r>
      <w:r w:rsidRPr="00AF7882">
        <w:rPr>
          <w:rFonts w:eastAsia="Calibri" w:cs="Arial"/>
          <w:sz w:val="22"/>
          <w:szCs w:val="22"/>
          <w:lang w:val="fr-CH" w:eastAsia="en-US"/>
        </w:rPr>
        <w:t xml:space="preserve"> dose 1 mois après la 1</w:t>
      </w:r>
      <w:r w:rsidRPr="00AF7882">
        <w:rPr>
          <w:rFonts w:eastAsia="Calibri" w:cs="Arial"/>
          <w:sz w:val="22"/>
          <w:szCs w:val="22"/>
          <w:vertAlign w:val="superscript"/>
          <w:lang w:val="fr-CH" w:eastAsia="en-US"/>
        </w:rPr>
        <w:t>ère</w:t>
      </w:r>
      <w:r w:rsidRPr="00AF7882">
        <w:rPr>
          <w:rFonts w:eastAsia="Calibri" w:cs="Arial"/>
          <w:sz w:val="22"/>
          <w:szCs w:val="22"/>
          <w:lang w:val="fr-CH" w:eastAsia="en-US"/>
        </w:rPr>
        <w:t xml:space="preserve"> dose).</w:t>
      </w:r>
    </w:p>
    <w:p w:rsidR="00AF7882" w:rsidRPr="00B45AAD" w:rsidRDefault="00AF7882" w:rsidP="00B45AAD">
      <w:pPr>
        <w:pStyle w:val="Paragraphedeliste"/>
        <w:numPr>
          <w:ilvl w:val="0"/>
          <w:numId w:val="3"/>
        </w:numPr>
        <w:spacing w:after="200" w:line="276" w:lineRule="auto"/>
        <w:ind w:left="426"/>
        <w:jc w:val="both"/>
        <w:rPr>
          <w:rFonts w:eastAsia="Calibri" w:cs="Arial"/>
          <w:b/>
          <w:sz w:val="22"/>
          <w:szCs w:val="22"/>
          <w:lang w:val="fr-CH" w:eastAsia="en-US"/>
        </w:rPr>
      </w:pPr>
      <w:r w:rsidRPr="00B45AAD">
        <w:rPr>
          <w:rFonts w:eastAsia="Calibri" w:cs="Arial"/>
          <w:b/>
          <w:sz w:val="22"/>
          <w:szCs w:val="22"/>
          <w:lang w:val="fr-CH" w:eastAsia="en-US"/>
        </w:rPr>
        <w:t>VALIDATION</w:t>
      </w:r>
    </w:p>
    <w:p w:rsidR="00AF7882" w:rsidRPr="00AF7882" w:rsidRDefault="00AF7882" w:rsidP="008C1971">
      <w:pPr>
        <w:spacing w:line="276" w:lineRule="auto"/>
        <w:ind w:left="357"/>
        <w:jc w:val="both"/>
        <w:rPr>
          <w:rFonts w:eastAsia="Calibri" w:cs="Arial"/>
          <w:sz w:val="22"/>
          <w:szCs w:val="22"/>
          <w:lang w:val="fr-CH" w:eastAsia="en-US"/>
        </w:rPr>
      </w:pPr>
      <w:r w:rsidRPr="00AF7882">
        <w:rPr>
          <w:rFonts w:eastAsia="Calibri" w:cs="Arial"/>
          <w:sz w:val="22"/>
          <w:szCs w:val="22"/>
          <w:lang w:val="fr-CH" w:eastAsia="en-US"/>
        </w:rPr>
        <w:t>Dr Vaudaux Bernard, Infectiologue Pédiatre DMCP</w:t>
      </w:r>
    </w:p>
    <w:p w:rsidR="00AF7882" w:rsidRPr="00AF7882" w:rsidRDefault="00AF7882" w:rsidP="008C1971">
      <w:pPr>
        <w:spacing w:line="276" w:lineRule="auto"/>
        <w:ind w:left="357"/>
        <w:jc w:val="both"/>
        <w:rPr>
          <w:rFonts w:eastAsia="Calibri" w:cs="Arial"/>
          <w:sz w:val="22"/>
          <w:szCs w:val="22"/>
          <w:lang w:val="fr-CH" w:eastAsia="en-US"/>
        </w:rPr>
      </w:pPr>
      <w:r w:rsidRPr="00AF7882">
        <w:rPr>
          <w:rFonts w:eastAsia="Calibri" w:cs="Arial"/>
          <w:sz w:val="22"/>
          <w:szCs w:val="22"/>
          <w:lang w:val="fr-CH" w:eastAsia="en-US"/>
        </w:rPr>
        <w:t>Dr Christiane Petignat, Médecin associée</w:t>
      </w:r>
      <w:r w:rsidR="005D4047">
        <w:rPr>
          <w:rFonts w:eastAsia="Calibri" w:cs="Arial"/>
          <w:sz w:val="22"/>
          <w:szCs w:val="22"/>
          <w:lang w:val="fr-CH" w:eastAsia="en-US"/>
        </w:rPr>
        <w:t xml:space="preserve">, </w:t>
      </w:r>
      <w:r w:rsidRPr="00AF7882">
        <w:rPr>
          <w:rFonts w:eastAsia="Calibri" w:cs="Arial"/>
          <w:sz w:val="22"/>
          <w:szCs w:val="22"/>
          <w:lang w:val="fr-CH" w:eastAsia="en-US"/>
        </w:rPr>
        <w:t>Hygiène Prévention et Contrôle de l’infection</w:t>
      </w:r>
      <w:r w:rsidR="005D4047">
        <w:rPr>
          <w:rFonts w:eastAsia="Calibri" w:cs="Arial"/>
          <w:sz w:val="22"/>
          <w:szCs w:val="22"/>
          <w:lang w:val="fr-CH" w:eastAsia="en-US"/>
        </w:rPr>
        <w:t>,</w:t>
      </w:r>
      <w:r w:rsidRPr="00AF7882">
        <w:rPr>
          <w:rFonts w:eastAsia="Calibri" w:cs="Arial"/>
          <w:sz w:val="22"/>
          <w:szCs w:val="22"/>
          <w:lang w:val="fr-CH" w:eastAsia="en-US"/>
        </w:rPr>
        <w:t xml:space="preserve"> SMPH</w:t>
      </w:r>
      <w:r w:rsidR="005D4047">
        <w:rPr>
          <w:rFonts w:eastAsia="Calibri" w:cs="Arial"/>
          <w:sz w:val="22"/>
          <w:szCs w:val="22"/>
          <w:lang w:val="fr-CH" w:eastAsia="en-US"/>
        </w:rPr>
        <w:t xml:space="preserve"> </w:t>
      </w:r>
      <w:r w:rsidRPr="00AF7882">
        <w:rPr>
          <w:rFonts w:eastAsia="Calibri" w:cs="Arial"/>
          <w:sz w:val="22"/>
          <w:szCs w:val="22"/>
          <w:lang w:val="fr-CH" w:eastAsia="en-US"/>
        </w:rPr>
        <w:t>-</w:t>
      </w:r>
      <w:r w:rsidR="005D4047">
        <w:rPr>
          <w:rFonts w:eastAsia="Calibri" w:cs="Arial"/>
          <w:sz w:val="22"/>
          <w:szCs w:val="22"/>
          <w:lang w:val="fr-CH" w:eastAsia="en-US"/>
        </w:rPr>
        <w:t xml:space="preserve"> </w:t>
      </w:r>
      <w:r w:rsidRPr="00AF7882">
        <w:rPr>
          <w:rFonts w:eastAsia="Calibri" w:cs="Arial"/>
          <w:sz w:val="22"/>
          <w:szCs w:val="22"/>
          <w:lang w:val="fr-CH" w:eastAsia="en-US"/>
        </w:rPr>
        <w:t>CHUV</w:t>
      </w:r>
    </w:p>
    <w:p w:rsidR="00AF7882" w:rsidRPr="00AF7882" w:rsidRDefault="00AF7882" w:rsidP="008C1971">
      <w:pPr>
        <w:spacing w:line="276" w:lineRule="auto"/>
        <w:ind w:left="357"/>
        <w:jc w:val="both"/>
        <w:rPr>
          <w:rFonts w:eastAsia="Calibri" w:cs="Arial"/>
          <w:sz w:val="22"/>
          <w:szCs w:val="22"/>
          <w:lang w:val="fr-CH" w:eastAsia="en-US"/>
        </w:rPr>
      </w:pPr>
      <w:r w:rsidRPr="00AF7882">
        <w:rPr>
          <w:rFonts w:eastAsia="Calibri" w:cs="Arial"/>
          <w:sz w:val="22"/>
          <w:szCs w:val="22"/>
          <w:lang w:val="fr-CH" w:eastAsia="en-US"/>
        </w:rPr>
        <w:t xml:space="preserve">Dr Pierre Alex </w:t>
      </w:r>
      <w:proofErr w:type="spellStart"/>
      <w:r w:rsidRPr="00AF7882">
        <w:rPr>
          <w:rFonts w:eastAsia="Calibri" w:cs="Arial"/>
          <w:sz w:val="22"/>
          <w:szCs w:val="22"/>
          <w:lang w:val="fr-CH" w:eastAsia="en-US"/>
        </w:rPr>
        <w:t>Crisinel</w:t>
      </w:r>
      <w:proofErr w:type="spellEnd"/>
      <w:r w:rsidRPr="00AF7882">
        <w:rPr>
          <w:rFonts w:eastAsia="Calibri" w:cs="Arial"/>
          <w:sz w:val="22"/>
          <w:szCs w:val="22"/>
          <w:lang w:val="fr-CH" w:eastAsia="en-US"/>
        </w:rPr>
        <w:t>, Médecin hospitalier</w:t>
      </w:r>
      <w:r w:rsidR="005D4047">
        <w:rPr>
          <w:rFonts w:eastAsia="Calibri" w:cs="Arial"/>
          <w:sz w:val="22"/>
          <w:szCs w:val="22"/>
          <w:lang w:val="fr-CH" w:eastAsia="en-US"/>
        </w:rPr>
        <w:t>,</w:t>
      </w:r>
      <w:r w:rsidRPr="00AF7882">
        <w:rPr>
          <w:rFonts w:eastAsia="Calibri" w:cs="Arial"/>
          <w:sz w:val="22"/>
          <w:szCs w:val="22"/>
          <w:lang w:val="fr-CH" w:eastAsia="en-US"/>
        </w:rPr>
        <w:t xml:space="preserve"> Infectiologue Pédiatre HEL/DMCP- CHUV</w:t>
      </w:r>
    </w:p>
    <w:p w:rsidR="00AF7882" w:rsidRPr="00AF7882" w:rsidRDefault="00AF7882" w:rsidP="008C1971">
      <w:pPr>
        <w:spacing w:after="200" w:line="276" w:lineRule="auto"/>
        <w:ind w:left="360"/>
        <w:jc w:val="both"/>
        <w:rPr>
          <w:rFonts w:eastAsia="Calibri" w:cs="Arial"/>
          <w:sz w:val="22"/>
          <w:szCs w:val="22"/>
          <w:lang w:val="fr-CH" w:eastAsia="en-US"/>
        </w:rPr>
      </w:pPr>
    </w:p>
    <w:p w:rsidR="00FF025E" w:rsidRDefault="00AF7882" w:rsidP="008C1971">
      <w:pPr>
        <w:tabs>
          <w:tab w:val="center" w:pos="4536"/>
        </w:tabs>
        <w:spacing w:line="280" w:lineRule="atLeast"/>
        <w:jc w:val="both"/>
        <w:rPr>
          <w:sz w:val="22"/>
          <w:szCs w:val="22"/>
          <w:lang w:val="fr-CH"/>
        </w:rPr>
      </w:pPr>
      <w:r w:rsidRPr="00AF7882">
        <w:rPr>
          <w:rFonts w:eastAsia="Calibri" w:cs="Arial"/>
          <w:b/>
          <w:sz w:val="22"/>
          <w:szCs w:val="22"/>
          <w:lang w:val="fr-CH" w:eastAsia="en-US"/>
        </w:rPr>
        <w:t>Date de validation du document : 17 février 2014</w:t>
      </w:r>
    </w:p>
    <w:p w:rsidR="00AF7882" w:rsidRDefault="00AF7882" w:rsidP="008C1971">
      <w:pPr>
        <w:tabs>
          <w:tab w:val="center" w:pos="4536"/>
        </w:tabs>
        <w:spacing w:line="280" w:lineRule="atLeast"/>
        <w:jc w:val="both"/>
        <w:rPr>
          <w:sz w:val="22"/>
          <w:szCs w:val="22"/>
          <w:lang w:val="fr-CH"/>
        </w:rPr>
      </w:pPr>
    </w:p>
    <w:sectPr w:rsidR="00AF7882" w:rsidSect="006E3691">
      <w:headerReference w:type="default" r:id="rId9"/>
      <w:footerReference w:type="default" r:id="rId10"/>
      <w:pgSz w:w="11906" w:h="16838" w:code="9"/>
      <w:pgMar w:top="1400" w:right="1418" w:bottom="851"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82" w:rsidRDefault="00AF7882" w:rsidP="00DA3931">
      <w:r>
        <w:separator/>
      </w:r>
    </w:p>
  </w:endnote>
  <w:endnote w:type="continuationSeparator" w:id="0">
    <w:p w:rsidR="00AF7882" w:rsidRDefault="00AF7882" w:rsidP="00DA3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6A" w:rsidRDefault="00EF07EF" w:rsidP="00B4606A">
    <w:pPr>
      <w:pStyle w:val="Pieddepage"/>
      <w:jc w:val="center"/>
      <w:rPr>
        <w:sz w:val="16"/>
        <w:szCs w:val="16"/>
      </w:rPr>
    </w:pPr>
    <w:sdt>
      <w:sdtPr>
        <w:rPr>
          <w:sz w:val="16"/>
          <w:szCs w:val="16"/>
        </w:rPr>
        <w:id w:val="9976362"/>
        <w:docPartObj>
          <w:docPartGallery w:val="Page Numbers (Bottom of Page)"/>
          <w:docPartUnique/>
        </w:docPartObj>
      </w:sdtPr>
      <w:sdtContent/>
    </w:sdt>
    <w:r w:rsidR="00B4606A" w:rsidRPr="00B4606A">
      <w:rPr>
        <w:sz w:val="12"/>
        <w:szCs w:val="12"/>
      </w:rPr>
      <w:t xml:space="preserve"> </w:t>
    </w:r>
    <w:r w:rsidR="00B4606A" w:rsidRPr="00A64276">
      <w:rPr>
        <w:sz w:val="12"/>
        <w:szCs w:val="12"/>
      </w:rPr>
      <w:t>L:\HEL\COMMUN\Hygiène Hospitalière</w:t>
    </w:r>
    <w:r w:rsidR="00B4606A">
      <w:rPr>
        <w:sz w:val="16"/>
        <w:szCs w:val="16"/>
      </w:rPr>
      <w:tab/>
      <w:t xml:space="preserve">Version du </w:t>
    </w:r>
    <w:r w:rsidR="00951017">
      <w:rPr>
        <w:sz w:val="16"/>
        <w:szCs w:val="16"/>
      </w:rPr>
      <w:t>17.02.2014</w:t>
    </w:r>
    <w:r w:rsidR="00B4606A">
      <w:rPr>
        <w:sz w:val="16"/>
        <w:szCs w:val="16"/>
      </w:rPr>
      <w:tab/>
    </w:r>
    <w:r w:rsidR="00B4606A" w:rsidRPr="00EC4281">
      <w:rPr>
        <w:sz w:val="16"/>
        <w:szCs w:val="16"/>
      </w:rPr>
      <w:t xml:space="preserve">Page </w:t>
    </w:r>
    <w:r w:rsidRPr="00EC4281">
      <w:rPr>
        <w:b/>
        <w:sz w:val="16"/>
        <w:szCs w:val="16"/>
      </w:rPr>
      <w:fldChar w:fldCharType="begin"/>
    </w:r>
    <w:r w:rsidR="00B4606A" w:rsidRPr="00EC4281">
      <w:rPr>
        <w:b/>
        <w:sz w:val="16"/>
        <w:szCs w:val="16"/>
      </w:rPr>
      <w:instrText>PAGE</w:instrText>
    </w:r>
    <w:r w:rsidRPr="00EC4281">
      <w:rPr>
        <w:b/>
        <w:sz w:val="16"/>
        <w:szCs w:val="16"/>
      </w:rPr>
      <w:fldChar w:fldCharType="separate"/>
    </w:r>
    <w:r w:rsidR="005D4047">
      <w:rPr>
        <w:b/>
        <w:noProof/>
        <w:sz w:val="16"/>
        <w:szCs w:val="16"/>
      </w:rPr>
      <w:t>3</w:t>
    </w:r>
    <w:r w:rsidRPr="00EC4281">
      <w:rPr>
        <w:b/>
        <w:sz w:val="16"/>
        <w:szCs w:val="16"/>
      </w:rPr>
      <w:fldChar w:fldCharType="end"/>
    </w:r>
    <w:r w:rsidR="00B4606A" w:rsidRPr="00EC4281">
      <w:rPr>
        <w:sz w:val="16"/>
        <w:szCs w:val="16"/>
      </w:rPr>
      <w:t xml:space="preserve"> sur </w:t>
    </w:r>
    <w:r w:rsidRPr="00EC4281">
      <w:rPr>
        <w:b/>
        <w:sz w:val="16"/>
        <w:szCs w:val="16"/>
      </w:rPr>
      <w:fldChar w:fldCharType="begin"/>
    </w:r>
    <w:r w:rsidR="00B4606A" w:rsidRPr="00EC4281">
      <w:rPr>
        <w:b/>
        <w:sz w:val="16"/>
        <w:szCs w:val="16"/>
      </w:rPr>
      <w:instrText>NUMPAGES</w:instrText>
    </w:r>
    <w:r w:rsidRPr="00EC4281">
      <w:rPr>
        <w:b/>
        <w:sz w:val="16"/>
        <w:szCs w:val="16"/>
      </w:rPr>
      <w:fldChar w:fldCharType="separate"/>
    </w:r>
    <w:r w:rsidR="005D4047">
      <w:rPr>
        <w:b/>
        <w:noProof/>
        <w:sz w:val="16"/>
        <w:szCs w:val="16"/>
      </w:rPr>
      <w:t>3</w:t>
    </w:r>
    <w:r w:rsidRPr="00EC4281">
      <w:rPr>
        <w:b/>
        <w:sz w:val="16"/>
        <w:szCs w:val="16"/>
      </w:rPr>
      <w:fldChar w:fldCharType="end"/>
    </w:r>
  </w:p>
  <w:p w:rsidR="00AD415F" w:rsidRPr="00A07483" w:rsidRDefault="00AD415F" w:rsidP="00AD415F">
    <w:pPr>
      <w:pStyle w:val="Pieddepage"/>
      <w:tabs>
        <w:tab w:val="clear" w:pos="9072"/>
      </w:tabs>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82" w:rsidRDefault="00AF7882" w:rsidP="00DA3931">
      <w:r>
        <w:separator/>
      </w:r>
    </w:p>
  </w:footnote>
  <w:footnote w:type="continuationSeparator" w:id="0">
    <w:p w:rsidR="00AF7882" w:rsidRDefault="00AF7882" w:rsidP="00D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31" w:rsidRPr="00370571" w:rsidRDefault="00DA3931">
    <w:pPr>
      <w:pStyle w:val="En-tte"/>
      <w:rPr>
        <w:b/>
        <w:sz w:val="20"/>
        <w:szCs w:val="20"/>
      </w:rPr>
    </w:pPr>
    <w:r w:rsidRPr="00370571">
      <w:rPr>
        <w:b/>
        <w:noProof/>
        <w:sz w:val="20"/>
        <w:szCs w:val="20"/>
        <w:lang w:val="fr-CH" w:eastAsia="fr-CH"/>
      </w:rPr>
      <w:drawing>
        <wp:anchor distT="0" distB="0" distL="114300" distR="114300" simplePos="0" relativeHeight="251661312" behindDoc="0" locked="1" layoutInCell="0" allowOverlap="0">
          <wp:simplePos x="0" y="0"/>
          <wp:positionH relativeFrom="page">
            <wp:posOffset>5665871</wp:posOffset>
          </wp:positionH>
          <wp:positionV relativeFrom="page">
            <wp:posOffset>360947</wp:posOffset>
          </wp:positionV>
          <wp:extent cx="1224213" cy="385011"/>
          <wp:effectExtent l="19050" t="0" r="0" b="0"/>
          <wp:wrapNone/>
          <wp:docPr id="5" name="Image 2" descr="H:\Mes Documents\Modèles.divers\lo_HEL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es Documents\Modèles.divers\lo_HEL_gris.png"/>
                  <pic:cNvPicPr>
                    <a:picLocks noChangeAspect="1" noChangeArrowheads="1"/>
                  </pic:cNvPicPr>
                </pic:nvPicPr>
                <pic:blipFill>
                  <a:blip r:embed="rId1"/>
                  <a:srcRect/>
                  <a:stretch>
                    <a:fillRect/>
                  </a:stretch>
                </pic:blipFill>
                <pic:spPr bwMode="auto">
                  <a:xfrm>
                    <a:off x="0" y="0"/>
                    <a:ext cx="1226820" cy="381635"/>
                  </a:xfrm>
                  <a:prstGeom prst="rect">
                    <a:avLst/>
                  </a:prstGeom>
                  <a:noFill/>
                  <a:ln w="9525">
                    <a:noFill/>
                    <a:miter lim="800000"/>
                    <a:headEnd/>
                    <a:tailEnd/>
                  </a:ln>
                </pic:spPr>
              </pic:pic>
            </a:graphicData>
          </a:graphic>
        </wp:anchor>
      </w:drawing>
    </w:r>
  </w:p>
  <w:p w:rsidR="00DA3931" w:rsidRPr="00370571" w:rsidRDefault="00DA3931">
    <w:pPr>
      <w:pStyle w:val="En-tte"/>
      <w:rPr>
        <w:b/>
        <w:sz w:val="20"/>
        <w:szCs w:val="20"/>
      </w:rPr>
    </w:pPr>
  </w:p>
  <w:p w:rsidR="00DA3931" w:rsidRPr="00370571" w:rsidRDefault="00DA3931">
    <w:pPr>
      <w:pStyle w:val="En-tte"/>
      <w:rPr>
        <w:b/>
        <w:sz w:val="20"/>
        <w:szCs w:val="20"/>
      </w:rPr>
    </w:pPr>
  </w:p>
  <w:p w:rsidR="005462C4" w:rsidRPr="00060491" w:rsidRDefault="00370571" w:rsidP="00370571">
    <w:pPr>
      <w:pStyle w:val="En-tte"/>
      <w:tabs>
        <w:tab w:val="clear" w:pos="4536"/>
        <w:tab w:val="left" w:pos="7655"/>
      </w:tabs>
      <w:rPr>
        <w:b/>
        <w:sz w:val="20"/>
        <w:szCs w:val="20"/>
      </w:rPr>
    </w:pPr>
    <w:r w:rsidRPr="00060491">
      <w:rPr>
        <w:b/>
        <w:sz w:val="20"/>
        <w:szCs w:val="20"/>
      </w:rPr>
      <w:tab/>
    </w:r>
    <w:r w:rsidR="00D76636">
      <w:rPr>
        <w:b/>
        <w:sz w:val="20"/>
        <w:szCs w:val="20"/>
      </w:rPr>
      <w:t>Procédure</w:t>
    </w:r>
  </w:p>
  <w:p w:rsidR="00DA3931" w:rsidRPr="00370571" w:rsidRDefault="00DA3931" w:rsidP="008D2EFA">
    <w:pPr>
      <w:pStyle w:val="En-tte"/>
      <w:rPr>
        <w:sz w:val="20"/>
        <w:szCs w:val="20"/>
      </w:rPr>
    </w:pPr>
    <w:r w:rsidRPr="00DA3931">
      <w:rPr>
        <w:noProof/>
        <w:lang w:val="fr-CH" w:eastAsia="fr-CH"/>
      </w:rPr>
      <w:drawing>
        <wp:anchor distT="0" distB="0" distL="114300" distR="114300" simplePos="0" relativeHeight="251659264" behindDoc="0" locked="1" layoutInCell="1" allowOverlap="0">
          <wp:simplePos x="0" y="0"/>
          <wp:positionH relativeFrom="page">
            <wp:posOffset>765008</wp:posOffset>
          </wp:positionH>
          <wp:positionV relativeFrom="page">
            <wp:posOffset>368968</wp:posOffset>
          </wp:positionV>
          <wp:extent cx="2274971" cy="368969"/>
          <wp:effectExtent l="19050" t="0" r="0" b="0"/>
          <wp:wrapNone/>
          <wp:docPr id="1" name="Image 1" descr="logo_DM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MCP"/>
                  <pic:cNvPicPr>
                    <a:picLocks noChangeAspect="1" noChangeArrowheads="1"/>
                  </pic:cNvPicPr>
                </pic:nvPicPr>
                <pic:blipFill>
                  <a:blip r:embed="rId2"/>
                  <a:srcRect/>
                  <a:stretch>
                    <a:fillRect/>
                  </a:stretch>
                </pic:blipFill>
                <pic:spPr bwMode="auto">
                  <a:xfrm>
                    <a:off x="0" y="0"/>
                    <a:ext cx="2271395" cy="371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CF6"/>
    <w:multiLevelType w:val="hybridMultilevel"/>
    <w:tmpl w:val="622E0B9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nsid w:val="09A82AC6"/>
    <w:multiLevelType w:val="hybridMultilevel"/>
    <w:tmpl w:val="7624DE58"/>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EC84B83"/>
    <w:multiLevelType w:val="hybridMultilevel"/>
    <w:tmpl w:val="F30A7598"/>
    <w:lvl w:ilvl="0" w:tplc="100C000F">
      <w:start w:val="1"/>
      <w:numFmt w:val="decimal"/>
      <w:lvlText w:val="%1."/>
      <w:lvlJc w:val="left"/>
      <w:pPr>
        <w:ind w:left="720" w:hanging="360"/>
      </w:pPr>
      <w:rPr>
        <w:rFonts w:hint="default"/>
      </w:rPr>
    </w:lvl>
    <w:lvl w:ilvl="1" w:tplc="100C0001">
      <w:start w:val="1"/>
      <w:numFmt w:val="bullet"/>
      <w:lvlText w:val=""/>
      <w:lvlJc w:val="left"/>
      <w:pPr>
        <w:ind w:left="1440" w:hanging="360"/>
      </w:pPr>
      <w:rPr>
        <w:rFonts w:ascii="Symbol" w:hAnsi="Symbol" w:hint="default"/>
      </w:rPr>
    </w:lvl>
    <w:lvl w:ilvl="2" w:tplc="EB5A5D28">
      <w:start w:val="2"/>
      <w:numFmt w:val="bullet"/>
      <w:lvlText w:val="-"/>
      <w:lvlJc w:val="left"/>
      <w:pPr>
        <w:ind w:left="2340" w:hanging="360"/>
      </w:pPr>
      <w:rPr>
        <w:rFonts w:ascii="Arial" w:eastAsia="Times New Roman" w:hAnsi="Arial" w:cs="Arial" w:hint="default"/>
      </w:rPr>
    </w:lvl>
    <w:lvl w:ilvl="3" w:tplc="100C0015">
      <w:start w:val="1"/>
      <w:numFmt w:val="upperLetter"/>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91E5AD6"/>
    <w:multiLevelType w:val="hybridMultilevel"/>
    <w:tmpl w:val="009CCA60"/>
    <w:lvl w:ilvl="0" w:tplc="100C0019">
      <w:start w:val="1"/>
      <w:numFmt w:val="lowerLetter"/>
      <w:lvlText w:val="%1."/>
      <w:lvlJc w:val="left"/>
      <w:pPr>
        <w:ind w:left="3240" w:hanging="360"/>
      </w:pPr>
    </w:lvl>
    <w:lvl w:ilvl="1" w:tplc="100C0019" w:tentative="1">
      <w:start w:val="1"/>
      <w:numFmt w:val="lowerLetter"/>
      <w:lvlText w:val="%2."/>
      <w:lvlJc w:val="left"/>
      <w:pPr>
        <w:ind w:left="3960" w:hanging="360"/>
      </w:pPr>
    </w:lvl>
    <w:lvl w:ilvl="2" w:tplc="100C001B" w:tentative="1">
      <w:start w:val="1"/>
      <w:numFmt w:val="lowerRoman"/>
      <w:lvlText w:val="%3."/>
      <w:lvlJc w:val="right"/>
      <w:pPr>
        <w:ind w:left="4680" w:hanging="180"/>
      </w:pPr>
    </w:lvl>
    <w:lvl w:ilvl="3" w:tplc="100C000F" w:tentative="1">
      <w:start w:val="1"/>
      <w:numFmt w:val="decimal"/>
      <w:lvlText w:val="%4."/>
      <w:lvlJc w:val="left"/>
      <w:pPr>
        <w:ind w:left="5400" w:hanging="360"/>
      </w:pPr>
    </w:lvl>
    <w:lvl w:ilvl="4" w:tplc="100C0019" w:tentative="1">
      <w:start w:val="1"/>
      <w:numFmt w:val="lowerLetter"/>
      <w:lvlText w:val="%5."/>
      <w:lvlJc w:val="left"/>
      <w:pPr>
        <w:ind w:left="6120" w:hanging="360"/>
      </w:pPr>
    </w:lvl>
    <w:lvl w:ilvl="5" w:tplc="100C001B" w:tentative="1">
      <w:start w:val="1"/>
      <w:numFmt w:val="lowerRoman"/>
      <w:lvlText w:val="%6."/>
      <w:lvlJc w:val="right"/>
      <w:pPr>
        <w:ind w:left="6840" w:hanging="180"/>
      </w:pPr>
    </w:lvl>
    <w:lvl w:ilvl="6" w:tplc="100C000F" w:tentative="1">
      <w:start w:val="1"/>
      <w:numFmt w:val="decimal"/>
      <w:lvlText w:val="%7."/>
      <w:lvlJc w:val="left"/>
      <w:pPr>
        <w:ind w:left="7560" w:hanging="360"/>
      </w:pPr>
    </w:lvl>
    <w:lvl w:ilvl="7" w:tplc="100C0019" w:tentative="1">
      <w:start w:val="1"/>
      <w:numFmt w:val="lowerLetter"/>
      <w:lvlText w:val="%8."/>
      <w:lvlJc w:val="left"/>
      <w:pPr>
        <w:ind w:left="8280" w:hanging="360"/>
      </w:pPr>
    </w:lvl>
    <w:lvl w:ilvl="8" w:tplc="100C001B" w:tentative="1">
      <w:start w:val="1"/>
      <w:numFmt w:val="lowerRoman"/>
      <w:lvlText w:val="%9."/>
      <w:lvlJc w:val="right"/>
      <w:pPr>
        <w:ind w:left="9000" w:hanging="180"/>
      </w:pPr>
    </w:lvl>
  </w:abstractNum>
  <w:abstractNum w:abstractNumId="4">
    <w:nsid w:val="2380292B"/>
    <w:multiLevelType w:val="hybridMultilevel"/>
    <w:tmpl w:val="9F52927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3724F89"/>
    <w:multiLevelType w:val="hybridMultilevel"/>
    <w:tmpl w:val="D4B6CA9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6">
    <w:nsid w:val="470C620D"/>
    <w:multiLevelType w:val="hybridMultilevel"/>
    <w:tmpl w:val="EA30C5C2"/>
    <w:lvl w:ilvl="0" w:tplc="100C0019">
      <w:start w:val="1"/>
      <w:numFmt w:val="lowerLetter"/>
      <w:lvlText w:val="%1."/>
      <w:lvlJc w:val="left"/>
      <w:pPr>
        <w:ind w:left="3060" w:hanging="360"/>
      </w:pPr>
    </w:lvl>
    <w:lvl w:ilvl="1" w:tplc="100C0019" w:tentative="1">
      <w:start w:val="1"/>
      <w:numFmt w:val="lowerLetter"/>
      <w:lvlText w:val="%2."/>
      <w:lvlJc w:val="left"/>
      <w:pPr>
        <w:ind w:left="3780" w:hanging="360"/>
      </w:pPr>
    </w:lvl>
    <w:lvl w:ilvl="2" w:tplc="100C001B" w:tentative="1">
      <w:start w:val="1"/>
      <w:numFmt w:val="lowerRoman"/>
      <w:lvlText w:val="%3."/>
      <w:lvlJc w:val="right"/>
      <w:pPr>
        <w:ind w:left="4500" w:hanging="180"/>
      </w:pPr>
    </w:lvl>
    <w:lvl w:ilvl="3" w:tplc="100C000F" w:tentative="1">
      <w:start w:val="1"/>
      <w:numFmt w:val="decimal"/>
      <w:lvlText w:val="%4."/>
      <w:lvlJc w:val="left"/>
      <w:pPr>
        <w:ind w:left="5220" w:hanging="360"/>
      </w:pPr>
    </w:lvl>
    <w:lvl w:ilvl="4" w:tplc="100C0019" w:tentative="1">
      <w:start w:val="1"/>
      <w:numFmt w:val="lowerLetter"/>
      <w:lvlText w:val="%5."/>
      <w:lvlJc w:val="left"/>
      <w:pPr>
        <w:ind w:left="5940" w:hanging="360"/>
      </w:pPr>
    </w:lvl>
    <w:lvl w:ilvl="5" w:tplc="100C001B" w:tentative="1">
      <w:start w:val="1"/>
      <w:numFmt w:val="lowerRoman"/>
      <w:lvlText w:val="%6."/>
      <w:lvlJc w:val="right"/>
      <w:pPr>
        <w:ind w:left="6660" w:hanging="180"/>
      </w:pPr>
    </w:lvl>
    <w:lvl w:ilvl="6" w:tplc="100C000F" w:tentative="1">
      <w:start w:val="1"/>
      <w:numFmt w:val="decimal"/>
      <w:lvlText w:val="%7."/>
      <w:lvlJc w:val="left"/>
      <w:pPr>
        <w:ind w:left="7380" w:hanging="360"/>
      </w:pPr>
    </w:lvl>
    <w:lvl w:ilvl="7" w:tplc="100C0019" w:tentative="1">
      <w:start w:val="1"/>
      <w:numFmt w:val="lowerLetter"/>
      <w:lvlText w:val="%8."/>
      <w:lvlJc w:val="left"/>
      <w:pPr>
        <w:ind w:left="8100" w:hanging="360"/>
      </w:pPr>
    </w:lvl>
    <w:lvl w:ilvl="8" w:tplc="100C001B" w:tentative="1">
      <w:start w:val="1"/>
      <w:numFmt w:val="lowerRoman"/>
      <w:lvlText w:val="%9."/>
      <w:lvlJc w:val="right"/>
      <w:pPr>
        <w:ind w:left="8820" w:hanging="180"/>
      </w:pPr>
    </w:lvl>
  </w:abstractNum>
  <w:abstractNum w:abstractNumId="7">
    <w:nsid w:val="58410500"/>
    <w:multiLevelType w:val="hybridMultilevel"/>
    <w:tmpl w:val="08B4527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10016D1"/>
    <w:multiLevelType w:val="hybridMultilevel"/>
    <w:tmpl w:val="9C1C8D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110790B"/>
    <w:multiLevelType w:val="hybridMultilevel"/>
    <w:tmpl w:val="77CC578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6C3A39ED"/>
    <w:multiLevelType w:val="hybridMultilevel"/>
    <w:tmpl w:val="D16E2520"/>
    <w:lvl w:ilvl="0" w:tplc="100C0019">
      <w:start w:val="1"/>
      <w:numFmt w:val="lowerLetter"/>
      <w:lvlText w:val="%1."/>
      <w:lvlJc w:val="left"/>
      <w:pPr>
        <w:ind w:left="3060" w:hanging="360"/>
      </w:pPr>
    </w:lvl>
    <w:lvl w:ilvl="1" w:tplc="100C0019" w:tentative="1">
      <w:start w:val="1"/>
      <w:numFmt w:val="lowerLetter"/>
      <w:lvlText w:val="%2."/>
      <w:lvlJc w:val="left"/>
      <w:pPr>
        <w:ind w:left="3780" w:hanging="360"/>
      </w:pPr>
    </w:lvl>
    <w:lvl w:ilvl="2" w:tplc="100C001B" w:tentative="1">
      <w:start w:val="1"/>
      <w:numFmt w:val="lowerRoman"/>
      <w:lvlText w:val="%3."/>
      <w:lvlJc w:val="right"/>
      <w:pPr>
        <w:ind w:left="4500" w:hanging="180"/>
      </w:pPr>
    </w:lvl>
    <w:lvl w:ilvl="3" w:tplc="100C000F" w:tentative="1">
      <w:start w:val="1"/>
      <w:numFmt w:val="decimal"/>
      <w:lvlText w:val="%4."/>
      <w:lvlJc w:val="left"/>
      <w:pPr>
        <w:ind w:left="5220" w:hanging="360"/>
      </w:pPr>
    </w:lvl>
    <w:lvl w:ilvl="4" w:tplc="100C0019" w:tentative="1">
      <w:start w:val="1"/>
      <w:numFmt w:val="lowerLetter"/>
      <w:lvlText w:val="%5."/>
      <w:lvlJc w:val="left"/>
      <w:pPr>
        <w:ind w:left="5940" w:hanging="360"/>
      </w:pPr>
    </w:lvl>
    <w:lvl w:ilvl="5" w:tplc="100C001B" w:tentative="1">
      <w:start w:val="1"/>
      <w:numFmt w:val="lowerRoman"/>
      <w:lvlText w:val="%6."/>
      <w:lvlJc w:val="right"/>
      <w:pPr>
        <w:ind w:left="6660" w:hanging="180"/>
      </w:pPr>
    </w:lvl>
    <w:lvl w:ilvl="6" w:tplc="100C000F" w:tentative="1">
      <w:start w:val="1"/>
      <w:numFmt w:val="decimal"/>
      <w:lvlText w:val="%7."/>
      <w:lvlJc w:val="left"/>
      <w:pPr>
        <w:ind w:left="7380" w:hanging="360"/>
      </w:pPr>
    </w:lvl>
    <w:lvl w:ilvl="7" w:tplc="100C0019" w:tentative="1">
      <w:start w:val="1"/>
      <w:numFmt w:val="lowerLetter"/>
      <w:lvlText w:val="%8."/>
      <w:lvlJc w:val="left"/>
      <w:pPr>
        <w:ind w:left="8100" w:hanging="360"/>
      </w:pPr>
    </w:lvl>
    <w:lvl w:ilvl="8" w:tplc="100C001B" w:tentative="1">
      <w:start w:val="1"/>
      <w:numFmt w:val="lowerRoman"/>
      <w:lvlText w:val="%9."/>
      <w:lvlJc w:val="right"/>
      <w:pPr>
        <w:ind w:left="8820" w:hanging="180"/>
      </w:pPr>
    </w:lvl>
  </w:abstractNum>
  <w:abstractNum w:abstractNumId="11">
    <w:nsid w:val="6DC31036"/>
    <w:multiLevelType w:val="multilevel"/>
    <w:tmpl w:val="FEE40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2"/>
  </w:num>
  <w:num w:numId="5">
    <w:abstractNumId w:val="7"/>
  </w:num>
  <w:num w:numId="6">
    <w:abstractNumId w:val="0"/>
  </w:num>
  <w:num w:numId="7">
    <w:abstractNumId w:val="5"/>
  </w:num>
  <w:num w:numId="8">
    <w:abstractNumId w:val="11"/>
  </w:num>
  <w:num w:numId="9">
    <w:abstractNumId w:val="6"/>
  </w:num>
  <w:num w:numId="10">
    <w:abstractNumId w:val="1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revisionView w:inkAnnotation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8C1971"/>
    <w:rsid w:val="00060491"/>
    <w:rsid w:val="00110B89"/>
    <w:rsid w:val="00162AF6"/>
    <w:rsid w:val="001714E8"/>
    <w:rsid w:val="00185404"/>
    <w:rsid w:val="00196428"/>
    <w:rsid w:val="001C0B7A"/>
    <w:rsid w:val="001C499A"/>
    <w:rsid w:val="001F520D"/>
    <w:rsid w:val="001F5831"/>
    <w:rsid w:val="00224AFF"/>
    <w:rsid w:val="002311BE"/>
    <w:rsid w:val="002D6FE4"/>
    <w:rsid w:val="003441EC"/>
    <w:rsid w:val="00370571"/>
    <w:rsid w:val="00385580"/>
    <w:rsid w:val="003A696D"/>
    <w:rsid w:val="003C204D"/>
    <w:rsid w:val="00410369"/>
    <w:rsid w:val="004E6AC4"/>
    <w:rsid w:val="005462C4"/>
    <w:rsid w:val="005757C0"/>
    <w:rsid w:val="005B3CDA"/>
    <w:rsid w:val="005D4047"/>
    <w:rsid w:val="005E4B79"/>
    <w:rsid w:val="0069364C"/>
    <w:rsid w:val="006C0849"/>
    <w:rsid w:val="006C2A35"/>
    <w:rsid w:val="006C3324"/>
    <w:rsid w:val="006E3691"/>
    <w:rsid w:val="00772E15"/>
    <w:rsid w:val="0077766F"/>
    <w:rsid w:val="00795DF7"/>
    <w:rsid w:val="007C1D88"/>
    <w:rsid w:val="007E6B40"/>
    <w:rsid w:val="00800A41"/>
    <w:rsid w:val="00822A5C"/>
    <w:rsid w:val="00866F4D"/>
    <w:rsid w:val="0088550C"/>
    <w:rsid w:val="008B619A"/>
    <w:rsid w:val="008C1971"/>
    <w:rsid w:val="008D2EFA"/>
    <w:rsid w:val="008F0D04"/>
    <w:rsid w:val="00911D0C"/>
    <w:rsid w:val="009317BB"/>
    <w:rsid w:val="00951017"/>
    <w:rsid w:val="0097102F"/>
    <w:rsid w:val="00977251"/>
    <w:rsid w:val="009A27B6"/>
    <w:rsid w:val="009C3CA9"/>
    <w:rsid w:val="009D6DBE"/>
    <w:rsid w:val="00A05634"/>
    <w:rsid w:val="00A07483"/>
    <w:rsid w:val="00A44F6C"/>
    <w:rsid w:val="00A81055"/>
    <w:rsid w:val="00A82540"/>
    <w:rsid w:val="00AA4E8A"/>
    <w:rsid w:val="00AD3E2F"/>
    <w:rsid w:val="00AD415F"/>
    <w:rsid w:val="00AF7882"/>
    <w:rsid w:val="00B12C2F"/>
    <w:rsid w:val="00B40115"/>
    <w:rsid w:val="00B45AAD"/>
    <w:rsid w:val="00B4606A"/>
    <w:rsid w:val="00B704A3"/>
    <w:rsid w:val="00B95D46"/>
    <w:rsid w:val="00B9673D"/>
    <w:rsid w:val="00BC0991"/>
    <w:rsid w:val="00C11F20"/>
    <w:rsid w:val="00C11FCD"/>
    <w:rsid w:val="00C226DB"/>
    <w:rsid w:val="00C27A7A"/>
    <w:rsid w:val="00CD1D65"/>
    <w:rsid w:val="00CF7AFB"/>
    <w:rsid w:val="00D02228"/>
    <w:rsid w:val="00D032BC"/>
    <w:rsid w:val="00D072DD"/>
    <w:rsid w:val="00D13987"/>
    <w:rsid w:val="00D76636"/>
    <w:rsid w:val="00DA3931"/>
    <w:rsid w:val="00DE00F3"/>
    <w:rsid w:val="00DE510D"/>
    <w:rsid w:val="00E15958"/>
    <w:rsid w:val="00E45AB9"/>
    <w:rsid w:val="00E70A25"/>
    <w:rsid w:val="00EC4281"/>
    <w:rsid w:val="00EF0555"/>
    <w:rsid w:val="00EF07EF"/>
    <w:rsid w:val="00EF4ED2"/>
    <w:rsid w:val="00F33139"/>
    <w:rsid w:val="00F52B3F"/>
    <w:rsid w:val="00F53475"/>
    <w:rsid w:val="00F54505"/>
    <w:rsid w:val="00F70370"/>
    <w:rsid w:val="00F76FD8"/>
    <w:rsid w:val="00F965A3"/>
    <w:rsid w:val="00FA764D"/>
    <w:rsid w:val="00FB7E01"/>
    <w:rsid w:val="00FF025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C4"/>
    <w:rPr>
      <w:rFonts w:ascii="Arial" w:hAnsi="Arial"/>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A3931"/>
    <w:pPr>
      <w:tabs>
        <w:tab w:val="center" w:pos="4536"/>
        <w:tab w:val="right" w:pos="9072"/>
      </w:tabs>
    </w:pPr>
  </w:style>
  <w:style w:type="character" w:customStyle="1" w:styleId="En-tteCar">
    <w:name w:val="En-tête Car"/>
    <w:basedOn w:val="Policepardfaut"/>
    <w:link w:val="En-tte"/>
    <w:uiPriority w:val="99"/>
    <w:semiHidden/>
    <w:rsid w:val="00DA3931"/>
    <w:rPr>
      <w:rFonts w:ascii="Arial" w:hAnsi="Arial"/>
      <w:sz w:val="24"/>
      <w:szCs w:val="24"/>
      <w:lang w:val="fr-FR" w:eastAsia="fr-FR"/>
    </w:rPr>
  </w:style>
  <w:style w:type="paragraph" w:styleId="Pieddepage">
    <w:name w:val="footer"/>
    <w:basedOn w:val="Normal"/>
    <w:link w:val="PieddepageCar"/>
    <w:uiPriority w:val="99"/>
    <w:unhideWhenUsed/>
    <w:rsid w:val="00DA3931"/>
    <w:pPr>
      <w:tabs>
        <w:tab w:val="center" w:pos="4536"/>
        <w:tab w:val="right" w:pos="9072"/>
      </w:tabs>
    </w:pPr>
  </w:style>
  <w:style w:type="character" w:customStyle="1" w:styleId="PieddepageCar">
    <w:name w:val="Pied de page Car"/>
    <w:basedOn w:val="Policepardfaut"/>
    <w:link w:val="Pieddepage"/>
    <w:uiPriority w:val="99"/>
    <w:rsid w:val="00DA3931"/>
    <w:rPr>
      <w:rFonts w:ascii="Arial" w:hAnsi="Arial"/>
      <w:sz w:val="24"/>
      <w:szCs w:val="24"/>
      <w:lang w:val="fr-FR" w:eastAsia="fr-FR"/>
    </w:rPr>
  </w:style>
  <w:style w:type="paragraph" w:styleId="Textedebulles">
    <w:name w:val="Balloon Text"/>
    <w:basedOn w:val="Normal"/>
    <w:link w:val="TextedebullesCar"/>
    <w:uiPriority w:val="99"/>
    <w:semiHidden/>
    <w:unhideWhenUsed/>
    <w:rsid w:val="00410369"/>
    <w:rPr>
      <w:rFonts w:ascii="Tahoma" w:hAnsi="Tahoma" w:cs="Tahoma"/>
      <w:sz w:val="16"/>
      <w:szCs w:val="16"/>
    </w:rPr>
  </w:style>
  <w:style w:type="character" w:customStyle="1" w:styleId="TextedebullesCar">
    <w:name w:val="Texte de bulles Car"/>
    <w:basedOn w:val="Policepardfaut"/>
    <w:link w:val="Textedebulles"/>
    <w:uiPriority w:val="99"/>
    <w:semiHidden/>
    <w:rsid w:val="00410369"/>
    <w:rPr>
      <w:rFonts w:ascii="Tahoma" w:hAnsi="Tahoma" w:cs="Tahoma"/>
      <w:sz w:val="16"/>
      <w:szCs w:val="16"/>
      <w:lang w:val="fr-FR" w:eastAsia="fr-FR"/>
    </w:rPr>
  </w:style>
  <w:style w:type="paragraph" w:styleId="Paragraphedeliste">
    <w:name w:val="List Paragraph"/>
    <w:basedOn w:val="Normal"/>
    <w:uiPriority w:val="34"/>
    <w:qFormat/>
    <w:rsid w:val="00F53475"/>
    <w:pPr>
      <w:ind w:left="720"/>
      <w:contextualSpacing/>
    </w:pPr>
  </w:style>
  <w:style w:type="table" w:customStyle="1" w:styleId="Grilledutableau1">
    <w:name w:val="Grille du tableau1"/>
    <w:basedOn w:val="TableauNormal"/>
    <w:next w:val="Pieddepage"/>
    <w:uiPriority w:val="59"/>
    <w:rsid w:val="00AF788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AF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g.admin.ch/k_m_meldesystem/00733/00814/index.html?lan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AM\DAMPH\LMauron\HEL\Modele_Doc_DMCP_H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18640-EDAA-416D-ACAB-5AA0425F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Modele_Doc_DMCP_HEL.dotx</Template>
  <TotalTime>33</TotalTime>
  <Pages>3</Pages>
  <Words>1037</Words>
  <Characters>5341</Characters>
  <Application>Microsoft Office Word</Application>
  <DocSecurity>0</DocSecurity>
  <Lines>44</Lines>
  <Paragraphs>12</Paragraphs>
  <ScaleCrop>false</ScaleCrop>
  <Company>CHUV | Centre hospitalier universitaire vaudois</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lmauron</dc:creator>
  <cp:lastModifiedBy>lmauron</cp:lastModifiedBy>
  <cp:revision>45</cp:revision>
  <cp:lastPrinted>2014-02-18T10:10:00Z</cp:lastPrinted>
  <dcterms:created xsi:type="dcterms:W3CDTF">2014-02-18T13:25:00Z</dcterms:created>
  <dcterms:modified xsi:type="dcterms:W3CDTF">2014-02-18T13:59:00Z</dcterms:modified>
</cp:coreProperties>
</file>